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201C3" w14:textId="5A251E81" w:rsidR="00F6161C" w:rsidRPr="001821AA" w:rsidRDefault="00F6161C" w:rsidP="00F6161C">
      <w:pPr>
        <w:pStyle w:val="Oberzeile"/>
        <w:ind w:right="-234"/>
        <w:rPr>
          <w:b/>
        </w:rPr>
      </w:pPr>
      <w:r w:rsidRPr="001821AA">
        <w:rPr>
          <w:b/>
          <w:bCs/>
          <w:lang w:val="en"/>
        </w:rPr>
        <w:t>The 2021 business year: Bosch increases sales and result – company exceeds forecasts</w:t>
      </w:r>
    </w:p>
    <w:p w14:paraId="7401A977" w14:textId="57A586BD" w:rsidR="009B76A0" w:rsidRPr="001821AA" w:rsidRDefault="009B76A0" w:rsidP="009B76A0">
      <w:pPr>
        <w:pStyle w:val="Unterzeile"/>
      </w:pPr>
      <w:r w:rsidRPr="001821AA">
        <w:rPr>
          <w:lang w:val="en"/>
        </w:rPr>
        <w:t>Climate action as growth driver</w:t>
      </w:r>
    </w:p>
    <w:p w14:paraId="78495DC5" w14:textId="61FD15B5" w:rsidR="00323236" w:rsidRPr="001821AA" w:rsidRDefault="00323236" w:rsidP="00151017"/>
    <w:p w14:paraId="2EA0205D" w14:textId="7B079A10" w:rsidR="00E93B50" w:rsidRPr="001821AA" w:rsidRDefault="00D12FD9" w:rsidP="00151017">
      <w:pPr>
        <w:pStyle w:val="Strichpunkt"/>
      </w:pPr>
      <w:r w:rsidRPr="001821AA">
        <w:rPr>
          <w:lang w:val="en"/>
        </w:rPr>
        <w:t xml:space="preserve">2021 sales of </w:t>
      </w:r>
      <w:r w:rsidR="00E2063A">
        <w:rPr>
          <w:lang w:val="en"/>
        </w:rPr>
        <w:t>93.2</w:t>
      </w:r>
      <w:r w:rsidRPr="001821AA">
        <w:rPr>
          <w:lang w:val="en"/>
        </w:rPr>
        <w:t> billion</w:t>
      </w:r>
      <w:r w:rsidR="00E2063A">
        <w:rPr>
          <w:lang w:val="en"/>
        </w:rPr>
        <w:t xml:space="preserve"> </w:t>
      </w:r>
      <w:r w:rsidRPr="001821AA">
        <w:rPr>
          <w:lang w:val="en"/>
        </w:rPr>
        <w:t xml:space="preserve">exceed pre-crisis levels / Result climbs to </w:t>
      </w:r>
      <w:r w:rsidR="00E2063A">
        <w:rPr>
          <w:lang w:val="en"/>
        </w:rPr>
        <w:t>3.8</w:t>
      </w:r>
      <w:r w:rsidRPr="001821AA">
        <w:rPr>
          <w:lang w:val="en"/>
        </w:rPr>
        <w:t> billion</w:t>
      </w:r>
      <w:r w:rsidR="00E2063A">
        <w:rPr>
          <w:lang w:val="en"/>
        </w:rPr>
        <w:t xml:space="preserve">. </w:t>
      </w:r>
    </w:p>
    <w:p w14:paraId="7510F7A3" w14:textId="5CE9187F" w:rsidR="00115B73" w:rsidRPr="001821AA" w:rsidRDefault="008664B0" w:rsidP="00151017">
      <w:pPr>
        <w:pStyle w:val="Strichpunkt"/>
      </w:pPr>
      <w:r w:rsidRPr="001821AA">
        <w:rPr>
          <w:lang w:val="en"/>
        </w:rPr>
        <w:t>Dr.</w:t>
      </w:r>
      <w:r w:rsidR="00273C8D" w:rsidRPr="001821AA">
        <w:rPr>
          <w:lang w:val="en"/>
        </w:rPr>
        <w:t> </w:t>
      </w:r>
      <w:r w:rsidR="00115B73" w:rsidRPr="001821AA">
        <w:rPr>
          <w:lang w:val="en"/>
        </w:rPr>
        <w:t>Stefan Hartung: “Climate action is driving our business forward – we are in a strong position.”</w:t>
      </w:r>
    </w:p>
    <w:p w14:paraId="26F92EF0" w14:textId="5AF472A0" w:rsidR="00115B73" w:rsidRPr="001821AA" w:rsidRDefault="00115B73" w:rsidP="00151017">
      <w:pPr>
        <w:pStyle w:val="Strichpunkt"/>
      </w:pPr>
      <w:r w:rsidRPr="001821AA">
        <w:rPr>
          <w:lang w:val="en"/>
        </w:rPr>
        <w:t>Dr.</w:t>
      </w:r>
      <w:r w:rsidR="00273C8D" w:rsidRPr="001821AA">
        <w:rPr>
          <w:lang w:val="en"/>
        </w:rPr>
        <w:t> </w:t>
      </w:r>
      <w:r w:rsidRPr="001821AA">
        <w:rPr>
          <w:lang w:val="en"/>
        </w:rPr>
        <w:t>Markus Forschner: “We are investing in promising new areas and continuing on our course – our broad diversification is paying off.”</w:t>
      </w:r>
    </w:p>
    <w:p w14:paraId="50066820" w14:textId="5C78148A" w:rsidR="007D534C" w:rsidRPr="001821AA" w:rsidRDefault="00115B73" w:rsidP="00151017">
      <w:pPr>
        <w:pStyle w:val="Strichpunkt"/>
      </w:pPr>
      <w:r w:rsidRPr="001821AA">
        <w:rPr>
          <w:lang w:val="en"/>
        </w:rPr>
        <w:t>Filiz Albrecht: “The transformation offers opportunities to rethink employment while accepting social responsibility.”</w:t>
      </w:r>
    </w:p>
    <w:p w14:paraId="5FE8FDF0" w14:textId="3D9FB1C1" w:rsidR="004F25AD" w:rsidRPr="001821AA" w:rsidRDefault="00DB1A84" w:rsidP="00151017">
      <w:pPr>
        <w:pStyle w:val="Strichpunkt"/>
      </w:pPr>
      <w:r w:rsidRPr="001821AA">
        <w:rPr>
          <w:lang w:val="en"/>
        </w:rPr>
        <w:t>Dr.</w:t>
      </w:r>
      <w:r w:rsidR="00273C8D" w:rsidRPr="001821AA">
        <w:rPr>
          <w:lang w:val="en"/>
        </w:rPr>
        <w:t> </w:t>
      </w:r>
      <w:r w:rsidRPr="001821AA">
        <w:rPr>
          <w:lang w:val="en"/>
        </w:rPr>
        <w:t xml:space="preserve">Markus Heyn: “We are expanding our position in the automotive software market, and growing at double-digit rates.” </w:t>
      </w:r>
    </w:p>
    <w:p w14:paraId="6BA00400" w14:textId="4EBD79E2" w:rsidR="00590114" w:rsidRPr="001821AA" w:rsidRDefault="00590114" w:rsidP="00151017">
      <w:pPr>
        <w:pStyle w:val="Strichpunkt"/>
        <w:numPr>
          <w:ilvl w:val="0"/>
          <w:numId w:val="0"/>
        </w:numPr>
      </w:pPr>
    </w:p>
    <w:p w14:paraId="3B0F455B" w14:textId="20E43F76" w:rsidR="001D5A78" w:rsidRPr="001821AA" w:rsidRDefault="00DF69BD" w:rsidP="00151017">
      <w:r w:rsidRPr="001821AA">
        <w:rPr>
          <w:lang w:val="en"/>
        </w:rPr>
        <w:t>Stuttgart, Germany – The Bosch Group increased its sales and result significantly in 2021. According to preliminary figures,</w:t>
      </w:r>
      <w:r w:rsidRPr="001821AA">
        <w:rPr>
          <w:rStyle w:val="FootnoteReference"/>
          <w:lang w:val="en"/>
        </w:rPr>
        <w:footnoteReference w:id="1"/>
      </w:r>
      <w:r w:rsidRPr="001821AA">
        <w:rPr>
          <w:lang w:val="en"/>
        </w:rPr>
        <w:t xml:space="preserve"> total sales rose 10 percent to </w:t>
      </w:r>
      <w:r w:rsidR="00E2063A">
        <w:rPr>
          <w:lang w:val="en"/>
        </w:rPr>
        <w:t>93.2</w:t>
      </w:r>
      <w:r w:rsidR="00E2063A" w:rsidRPr="001821AA">
        <w:rPr>
          <w:lang w:val="en"/>
        </w:rPr>
        <w:t> billion</w:t>
      </w:r>
      <w:r w:rsidRPr="001821AA">
        <w:rPr>
          <w:lang w:val="en"/>
        </w:rPr>
        <w:t xml:space="preserve">. After adjusting for exchange-rate effects, sales growth at the supplier of technology and services was 11 percent. Earnings before interest and taxes (EBIT) from operations increased by more than half to reach </w:t>
      </w:r>
      <w:r w:rsidR="00E2063A">
        <w:rPr>
          <w:lang w:val="en"/>
        </w:rPr>
        <w:t>3.8</w:t>
      </w:r>
      <w:r w:rsidR="00E2063A" w:rsidRPr="001821AA">
        <w:rPr>
          <w:lang w:val="en"/>
        </w:rPr>
        <w:t> billion</w:t>
      </w:r>
      <w:r w:rsidR="00E2063A">
        <w:rPr>
          <w:lang w:val="en"/>
        </w:rPr>
        <w:t>.</w:t>
      </w:r>
      <w:r w:rsidRPr="001821AA">
        <w:rPr>
          <w:lang w:val="en"/>
        </w:rPr>
        <w:t xml:space="preserve"> The EBIT margin from operations is therefore expected to be around 4 percent, compared with 2.8 percent in the previous year. “Our business performed much better in 2021 than expected,” said </w:t>
      </w:r>
      <w:hyperlink r:id="rId8" w:history="1">
        <w:r w:rsidRPr="001821AA">
          <w:rPr>
            <w:rStyle w:val="Hyperlink"/>
            <w:lang w:val="en"/>
          </w:rPr>
          <w:t>Dr. Stefan Hartung</w:t>
        </w:r>
      </w:hyperlink>
      <w:r w:rsidRPr="001821AA">
        <w:rPr>
          <w:lang w:val="en"/>
        </w:rPr>
        <w:t xml:space="preserve">, chairman of the board of management of Robert Bosch GmbH, at the presentation of the company’s preliminary business figures. “We were able to exceed our forecasts despite many challenges, such as cost burdens due to supply bottlenecks and price increases for raw materials.” Business success was also significantly shaped by “solidarity in times of social distancing,” as he put it. “I would like to thank our associates for their commitment, and our customers, suppliers, and business partners for their trust,” Hartung said, adding that, together with the global Bosch team, he wanted to continue developing technology that is “Invented for life” as a response to current challenges. “Bosch is a technological pioneer in many areas, and we want to keep it that way.” To this end, the company is continuing to invest </w:t>
      </w:r>
      <w:r w:rsidRPr="001821AA">
        <w:rPr>
          <w:lang w:val="en"/>
        </w:rPr>
        <w:lastRenderedPageBreak/>
        <w:t xml:space="preserve">large sums in strategically important fields, including a total of around </w:t>
      </w:r>
      <w:r w:rsidR="00E2063A">
        <w:rPr>
          <w:lang w:val="en"/>
        </w:rPr>
        <w:t>1.2</w:t>
      </w:r>
      <w:r w:rsidRPr="001821AA">
        <w:rPr>
          <w:lang w:val="en"/>
        </w:rPr>
        <w:t xml:space="preserve"> billion in microelectronics and electromobility this year alone. At the same time, Bosch is increasingly focusing on partnerships, such as the recently announced alliance with Volkswagen in the field of automated driving. </w:t>
      </w:r>
    </w:p>
    <w:p w14:paraId="1DC5EF85" w14:textId="77777777" w:rsidR="001D5A78" w:rsidRPr="001821AA" w:rsidRDefault="001D5A78" w:rsidP="00151017"/>
    <w:p w14:paraId="1E3B464C" w14:textId="59E757EA" w:rsidR="005B4945" w:rsidRPr="001821AA" w:rsidRDefault="006B04BD" w:rsidP="00151017">
      <w:r w:rsidRPr="001821AA">
        <w:rPr>
          <w:lang w:val="en"/>
        </w:rPr>
        <w:t>The Bosch chairman also expects the efforts of many countries to move toward a climate-neutral economy to significantly stimulate growth in the future: “Climate action is driving our business forward – from mobility solutions and industrial automation to building technology and home appliances,” Hartung said. “And thanks to connectivity and artificial intelligence, energy efficiency will continue to improve.” In this vein, Bosch was able to increase its sales of connected power tools, home appliances, and heating systems by 50 percent in 2021 – from 4 million units in 2020 to more than 6 million.</w:t>
      </w:r>
    </w:p>
    <w:p w14:paraId="302BE598" w14:textId="4332B71E" w:rsidR="00B25427" w:rsidRPr="001821AA" w:rsidRDefault="00B25427" w:rsidP="00151017"/>
    <w:p w14:paraId="0FBE255A" w14:textId="77777777" w:rsidR="006B04BD" w:rsidRPr="00ED4EB9" w:rsidRDefault="0071444D" w:rsidP="00151017">
      <w:pPr>
        <w:rPr>
          <w:b/>
        </w:rPr>
      </w:pPr>
      <w:r w:rsidRPr="00ED4EB9">
        <w:rPr>
          <w:b/>
          <w:bCs/>
          <w:lang w:val="en"/>
        </w:rPr>
        <w:t>Bosch is stepping up its climate action – growth through electrification</w:t>
      </w:r>
    </w:p>
    <w:p w14:paraId="1A6E4A8D" w14:textId="1284E43E" w:rsidR="00EA7AD7" w:rsidRPr="001821AA" w:rsidRDefault="00E20085" w:rsidP="00151017">
      <w:r w:rsidRPr="001821AA">
        <w:rPr>
          <w:lang w:val="en"/>
        </w:rPr>
        <w:t xml:space="preserve">Bosch is committed to the goals of the EU’s Green Deal. Its business sectors are already implementing a broad range of measures to combat global warming: With its 400 locations worldwide, Bosch has been </w:t>
      </w:r>
      <w:hyperlink r:id="rId9" w:history="1">
        <w:r w:rsidRPr="001821AA">
          <w:rPr>
            <w:lang w:val="en"/>
          </w:rPr>
          <w:t>climate neutral</w:t>
        </w:r>
      </w:hyperlink>
      <w:r w:rsidRPr="001821AA">
        <w:rPr>
          <w:lang w:val="en"/>
        </w:rPr>
        <w:t xml:space="preserve"> since the first quarter of 2020. Between now and 2030, the company plans to cut carbon emissions along its supply chain – from purchasing to product use – by 15 percent. According to the Bosch chairman, electrification is already giving rise to more and more business. “We are generating billions in sales with electromobility. We’re also growing at double-digit rates with heat pumps for the home, and electrical drives are making inroads in industrial technology,” Hartung said. He believes this puts the company in a strong position: “Bosch is translating climate action into growth.” The company is demonstrating how the transformation to climate neutrality can succeed both ecologically and economically, he said. </w:t>
      </w:r>
    </w:p>
    <w:p w14:paraId="66B077B0" w14:textId="77777777" w:rsidR="0094382E" w:rsidRPr="00ED4EB9" w:rsidRDefault="0094382E" w:rsidP="00151017"/>
    <w:p w14:paraId="751FEB74" w14:textId="3B215D67" w:rsidR="00EA7AD7" w:rsidRPr="00ED4EB9" w:rsidRDefault="00397465" w:rsidP="00151017">
      <w:pPr>
        <w:rPr>
          <w:b/>
        </w:rPr>
      </w:pPr>
      <w:r w:rsidRPr="00ED4EB9">
        <w:rPr>
          <w:b/>
          <w:bCs/>
          <w:lang w:val="en"/>
        </w:rPr>
        <w:t>Sustainable mobility – growth from automotive and industrial technology</w:t>
      </w:r>
    </w:p>
    <w:p w14:paraId="7CB3598F" w14:textId="77777777" w:rsidR="0090380D" w:rsidRDefault="00CD1660" w:rsidP="00151017">
      <w:r w:rsidRPr="001821AA">
        <w:rPr>
          <w:lang w:val="en"/>
        </w:rPr>
        <w:t xml:space="preserve">Bosch is also tapping further growth potential in electromobility. Since the end of 2021, the company has been manufacturing </w:t>
      </w:r>
      <w:hyperlink r:id="rId10" w:history="1">
        <w:r w:rsidRPr="001821AA">
          <w:rPr>
            <w:rStyle w:val="Hyperlink"/>
            <w:lang w:val="en"/>
          </w:rPr>
          <w:t>power semiconductors made of silicon carbide (</w:t>
        </w:r>
        <w:proofErr w:type="spellStart"/>
        <w:r w:rsidRPr="001821AA">
          <w:rPr>
            <w:rStyle w:val="Hyperlink"/>
            <w:lang w:val="en"/>
          </w:rPr>
          <w:t>SiC</w:t>
        </w:r>
        <w:proofErr w:type="spellEnd"/>
        <w:r w:rsidRPr="001821AA">
          <w:rPr>
            <w:rStyle w:val="Hyperlink"/>
            <w:lang w:val="en"/>
          </w:rPr>
          <w:t>)</w:t>
        </w:r>
      </w:hyperlink>
      <w:r w:rsidRPr="001821AA">
        <w:rPr>
          <w:lang w:val="en"/>
        </w:rPr>
        <w:t xml:space="preserve">, which can extend the range of electric vehicles by up to 6 percent. According to the market research company Yole, the SiC market </w:t>
      </w:r>
      <w:proofErr w:type="gramStart"/>
      <w:r w:rsidRPr="001821AA">
        <w:rPr>
          <w:lang w:val="en"/>
        </w:rPr>
        <w:t>as a whole will</w:t>
      </w:r>
      <w:proofErr w:type="gramEnd"/>
      <w:r w:rsidRPr="001821AA">
        <w:rPr>
          <w:lang w:val="en"/>
        </w:rPr>
        <w:t xml:space="preserve"> grow on average by 30 percent a year to over</w:t>
      </w:r>
      <w:r w:rsidR="00E2063A">
        <w:rPr>
          <w:lang w:val="en"/>
        </w:rPr>
        <w:t xml:space="preserve"> 2.9</w:t>
      </w:r>
      <w:r w:rsidR="00E2063A" w:rsidRPr="001821AA">
        <w:rPr>
          <w:lang w:val="en"/>
        </w:rPr>
        <w:t xml:space="preserve"> </w:t>
      </w:r>
      <w:r w:rsidRPr="001821AA">
        <w:rPr>
          <w:lang w:val="en"/>
        </w:rPr>
        <w:t xml:space="preserve">billion over the next three years. Dr. Robert </w:t>
      </w:r>
      <w:proofErr w:type="spellStart"/>
      <w:r w:rsidRPr="001821AA">
        <w:rPr>
          <w:lang w:val="en"/>
        </w:rPr>
        <w:t>Habeck</w:t>
      </w:r>
      <w:proofErr w:type="spellEnd"/>
      <w:r w:rsidRPr="001821AA">
        <w:rPr>
          <w:rStyle w:val="Hyperlink"/>
          <w:u w:val="none"/>
          <w:lang w:val="en"/>
        </w:rPr>
        <w:t>,</w:t>
      </w:r>
      <w:r w:rsidRPr="001821AA">
        <w:rPr>
          <w:lang w:val="en"/>
        </w:rPr>
        <w:t xml:space="preserve"> the German Federal Minister of Economic Affairs and Climate Action, recently visited Bosch’s Bamberg site to find out more about the mass production of the stationary fuel cell (solid-oxide fuel cell, SOFC). With its SOFC technology, Bosch is playing a role in the transition to renewable energy while opening up new business opportunities. By 2024, the company plans to invest more than </w:t>
      </w:r>
      <w:r w:rsidR="00E2063A">
        <w:rPr>
          <w:lang w:val="en"/>
        </w:rPr>
        <w:t>473</w:t>
      </w:r>
      <w:r w:rsidRPr="001821AA">
        <w:rPr>
          <w:lang w:val="en"/>
        </w:rPr>
        <w:t xml:space="preserve"> million in SOFC technology and a further </w:t>
      </w:r>
      <w:r w:rsidR="00E2063A">
        <w:rPr>
          <w:lang w:val="en"/>
        </w:rPr>
        <w:t>710</w:t>
      </w:r>
      <w:r w:rsidRPr="001821AA">
        <w:rPr>
          <w:lang w:val="en"/>
        </w:rPr>
        <w:t xml:space="preserve"> million in mobile fuel cells. </w:t>
      </w:r>
    </w:p>
    <w:p w14:paraId="309D4CF4" w14:textId="7E1B69B6" w:rsidR="00CD1660" w:rsidRPr="001821AA" w:rsidRDefault="00CD1660" w:rsidP="00151017">
      <w:r w:rsidRPr="001821AA">
        <w:rPr>
          <w:lang w:val="en"/>
        </w:rPr>
        <w:lastRenderedPageBreak/>
        <w:t xml:space="preserve">Bosch has also entered the </w:t>
      </w:r>
      <w:hyperlink r:id="rId11" w:history="1">
        <w:r w:rsidRPr="001821AA">
          <w:rPr>
            <w:rStyle w:val="Hyperlink"/>
            <w:lang w:val="en"/>
          </w:rPr>
          <w:t>factory equipment business</w:t>
        </w:r>
      </w:hyperlink>
      <w:r w:rsidRPr="001821AA">
        <w:rPr>
          <w:lang w:val="en"/>
        </w:rPr>
        <w:t xml:space="preserve"> for battery production. This business has potential: according to the company, the global battery market is growing by up to 25 percent annually. Together with Volkswagen, Bosch is looking into jointly making </w:t>
      </w:r>
      <w:hyperlink r:id="rId12" w:history="1">
        <w:r w:rsidRPr="001821AA">
          <w:rPr>
            <w:rStyle w:val="Hyperlink"/>
            <w:lang w:val="en"/>
          </w:rPr>
          <w:t>battery cell manufacturing processes</w:t>
        </w:r>
      </w:hyperlink>
      <w:r w:rsidRPr="001821AA">
        <w:rPr>
          <w:lang w:val="en"/>
        </w:rPr>
        <w:t xml:space="preserve"> ready for volume production. Hartung said: “Our common goal is for a European supplier to be the cost and technology leader in the volume production of battery technology.” Experts see the joint plans as an important step on the road to climate-neutral mobility and the mass production of sustainable batteries.</w:t>
      </w:r>
    </w:p>
    <w:p w14:paraId="14892820" w14:textId="77777777" w:rsidR="00CD1660" w:rsidRPr="001821AA" w:rsidRDefault="00CD1660" w:rsidP="00151017"/>
    <w:p w14:paraId="1EB2B577" w14:textId="1D7F427F" w:rsidR="00B21798" w:rsidRPr="00ED4EB9" w:rsidRDefault="00B21798" w:rsidP="00151017">
      <w:pPr>
        <w:rPr>
          <w:b/>
        </w:rPr>
      </w:pPr>
      <w:r w:rsidRPr="00ED4EB9">
        <w:rPr>
          <w:b/>
          <w:bCs/>
          <w:lang w:val="en"/>
        </w:rPr>
        <w:t xml:space="preserve">Software-dominated mobility – double-digit growth in a market </w:t>
      </w:r>
      <w:proofErr w:type="gramStart"/>
      <w:r w:rsidRPr="00ED4EB9">
        <w:rPr>
          <w:b/>
          <w:bCs/>
          <w:lang w:val="en"/>
        </w:rPr>
        <w:t>worth billions</w:t>
      </w:r>
      <w:proofErr w:type="gramEnd"/>
      <w:r w:rsidRPr="00ED4EB9">
        <w:rPr>
          <w:b/>
          <w:bCs/>
          <w:lang w:val="en"/>
        </w:rPr>
        <w:t xml:space="preserve"> </w:t>
      </w:r>
    </w:p>
    <w:p w14:paraId="19DFB59A" w14:textId="44432B59" w:rsidR="00E05241" w:rsidRPr="001821AA" w:rsidRDefault="00F12ABC" w:rsidP="00151017">
      <w:r w:rsidRPr="001821AA">
        <w:rPr>
          <w:lang w:val="en"/>
        </w:rPr>
        <w:t xml:space="preserve">Bosch also intends to achieve growth and expand its position in software development for vehicles. The Mobility Solutions business sector already equips vehicles worldwide with more than 200 million control units running its proprietary software each year. The company expects the market for automotive software to reach a volume of some </w:t>
      </w:r>
      <w:r w:rsidR="00E2063A">
        <w:rPr>
          <w:lang w:val="en"/>
        </w:rPr>
        <w:t>237</w:t>
      </w:r>
      <w:r w:rsidRPr="001821AA">
        <w:rPr>
          <w:lang w:val="en"/>
        </w:rPr>
        <w:t xml:space="preserve"> billion by 2030. “Bosch will see double-digit growth in this market,” said </w:t>
      </w:r>
      <w:hyperlink r:id="rId13" w:history="1">
        <w:r w:rsidRPr="001821AA">
          <w:rPr>
            <w:rStyle w:val="Hyperlink"/>
            <w:lang w:val="en"/>
          </w:rPr>
          <w:t>Dr. Markus Heyn</w:t>
        </w:r>
      </w:hyperlink>
      <w:r w:rsidRPr="001821AA">
        <w:rPr>
          <w:lang w:val="en"/>
        </w:rPr>
        <w:t xml:space="preserve">, the new chairman of the Mobility Solutions business sector and member of the board of management of Robert Bosch GmbH. “Here we will benefit in no small part from the evolution of the car into an internet node.” </w:t>
      </w:r>
    </w:p>
    <w:p w14:paraId="28BD5F7B" w14:textId="77777777" w:rsidR="00E05241" w:rsidRPr="001821AA" w:rsidRDefault="00E05241" w:rsidP="00151017"/>
    <w:p w14:paraId="28C8249F" w14:textId="75AD19D6" w:rsidR="00B80704" w:rsidRPr="001821AA" w:rsidRDefault="00F12ABC" w:rsidP="00151017">
      <w:pPr>
        <w:rPr>
          <w:b/>
        </w:rPr>
      </w:pPr>
      <w:r w:rsidRPr="001821AA">
        <w:rPr>
          <w:lang w:val="en"/>
        </w:rPr>
        <w:t xml:space="preserve">According to Heyn, Bosch has already set the strategic course for this. The company’s portfolio of </w:t>
      </w:r>
      <w:hyperlink r:id="rId14" w:history="1">
        <w:r w:rsidRPr="001821AA">
          <w:rPr>
            <w:rStyle w:val="Hyperlink"/>
            <w:lang w:val="en"/>
          </w:rPr>
          <w:t>application-independent vehicle software</w:t>
        </w:r>
      </w:hyperlink>
      <w:r w:rsidRPr="001821AA">
        <w:rPr>
          <w:lang w:val="en"/>
        </w:rPr>
        <w:t xml:space="preserve"> will be brought together in its ETAS subsidiary in mid-2022. ETAS will offer basic vehicle software, middleware, cloud services, and development tools for universal application. In addition, Bosch’s new Cross-Domain Computing Solutions division will create </w:t>
      </w:r>
      <w:hyperlink r:id="rId15" w:history="1">
        <w:r w:rsidRPr="001821AA">
          <w:rPr>
            <w:rStyle w:val="Hyperlink"/>
            <w:lang w:val="en"/>
          </w:rPr>
          <w:t>application-specific vehicle software</w:t>
        </w:r>
      </w:hyperlink>
      <w:r w:rsidRPr="001821AA">
        <w:rPr>
          <w:lang w:val="en"/>
        </w:rPr>
        <w:t xml:space="preserve"> with special hardware for functions such as driver assistance and automated driving. In this field, Bosch entered into a wide-ranging </w:t>
      </w:r>
      <w:hyperlink r:id="rId16" w:history="1">
        <w:r w:rsidRPr="001821AA">
          <w:rPr>
            <w:rStyle w:val="Hyperlink"/>
            <w:lang w:val="en"/>
          </w:rPr>
          <w:t>alliance</w:t>
        </w:r>
      </w:hyperlink>
      <w:r w:rsidRPr="001821AA">
        <w:rPr>
          <w:lang w:val="en"/>
        </w:rPr>
        <w:t xml:space="preserve"> with Cariad, Volkswagen’s software subsidiary, at the end of January 2022. “Our goal is to accelerate the process of making partially and highly automated driving in everyday vehicles a reality,” Heyn said. “We want to set standards for the market that will benefit other automakers.”</w:t>
      </w:r>
    </w:p>
    <w:p w14:paraId="29626B46" w14:textId="77777777" w:rsidR="00113EE2" w:rsidRPr="001821AA" w:rsidRDefault="00113EE2" w:rsidP="00151017">
      <w:pPr>
        <w:rPr>
          <w:b/>
        </w:rPr>
      </w:pPr>
    </w:p>
    <w:p w14:paraId="263E81BF" w14:textId="77777777" w:rsidR="002D0E16" w:rsidRPr="001821AA" w:rsidRDefault="002D0E16">
      <w:pPr>
        <w:spacing w:line="240" w:lineRule="auto"/>
        <w:rPr>
          <w:b/>
          <w:bCs/>
          <w:lang w:val="en"/>
        </w:rPr>
      </w:pPr>
      <w:r w:rsidRPr="001821AA">
        <w:rPr>
          <w:b/>
          <w:bCs/>
          <w:lang w:val="en"/>
        </w:rPr>
        <w:br w:type="page"/>
      </w:r>
    </w:p>
    <w:p w14:paraId="0150AA71" w14:textId="78A6AA1C" w:rsidR="00DA6F09" w:rsidRPr="00ED4EB9" w:rsidRDefault="00DA6F09" w:rsidP="00151017">
      <w:pPr>
        <w:rPr>
          <w:b/>
        </w:rPr>
      </w:pPr>
      <w:r w:rsidRPr="00ED4EB9">
        <w:rPr>
          <w:b/>
          <w:bCs/>
          <w:lang w:val="en"/>
        </w:rPr>
        <w:lastRenderedPageBreak/>
        <w:t xml:space="preserve">Transforming the industrial workplace – </w:t>
      </w:r>
      <w:r w:rsidR="00AA01E0">
        <w:rPr>
          <w:b/>
          <w:bCs/>
          <w:lang w:val="en"/>
        </w:rPr>
        <w:t>one</w:t>
      </w:r>
      <w:r w:rsidRPr="00ED4EB9">
        <w:rPr>
          <w:b/>
          <w:bCs/>
          <w:lang w:val="en"/>
        </w:rPr>
        <w:t xml:space="preserve"> billion earmarked for training</w:t>
      </w:r>
    </w:p>
    <w:p w14:paraId="178AD69F" w14:textId="5FE2D5D7" w:rsidR="00A64944" w:rsidRPr="001821AA" w:rsidRDefault="00DA6F09" w:rsidP="00151017">
      <w:r w:rsidRPr="001821AA">
        <w:rPr>
          <w:lang w:val="en"/>
        </w:rPr>
        <w:t xml:space="preserve">The path toward a climate-neutral economy is also one that Bosch wants to help forge as an employer. “With many industries undergoing a transformation, Bosch sees an opportunity to rethink employment,” said </w:t>
      </w:r>
      <w:hyperlink r:id="rId17" w:history="1">
        <w:r w:rsidRPr="001821AA">
          <w:rPr>
            <w:rStyle w:val="Hyperlink"/>
            <w:lang w:val="en"/>
          </w:rPr>
          <w:t>Filiz Albrecht</w:t>
        </w:r>
      </w:hyperlink>
      <w:r w:rsidRPr="001821AA">
        <w:rPr>
          <w:lang w:val="en"/>
        </w:rPr>
        <w:t xml:space="preserve">, member of the board of management and director of industrial relations at Robert Bosch GmbH. To support people as they move from one kind of work to another, it is increasingly important for employers to “make prospects for new employment visible outside their own company as well.” That’s why in Germany, Bosch is contributing its broad experience to </w:t>
      </w:r>
      <w:hyperlink r:id="rId18" w:history="1">
        <w:r w:rsidRPr="001821AA">
          <w:rPr>
            <w:rStyle w:val="Hyperlink"/>
            <w:lang w:val="en"/>
          </w:rPr>
          <w:t xml:space="preserve">Allianz der </w:t>
        </w:r>
        <w:proofErr w:type="spellStart"/>
        <w:r w:rsidRPr="001821AA">
          <w:rPr>
            <w:rStyle w:val="Hyperlink"/>
            <w:lang w:val="en"/>
          </w:rPr>
          <w:t>Chancen</w:t>
        </w:r>
        <w:proofErr w:type="spellEnd"/>
      </w:hyperlink>
      <w:r w:rsidRPr="001821AA">
        <w:rPr>
          <w:lang w:val="en"/>
        </w:rPr>
        <w:t xml:space="preserve">, a cross-industry initiative concerned with the transformation of the working world. “We believe we can make this change socially acceptable,” Albrecht said. To that end, the company is also pursuing new approaches to associate placement and qualification. Furthermore, Bosch is continually investing in upskilling its workforce – more than </w:t>
      </w:r>
      <w:r w:rsidR="00E2063A">
        <w:rPr>
          <w:lang w:val="en"/>
        </w:rPr>
        <w:t>1.2</w:t>
      </w:r>
      <w:r w:rsidRPr="001821AA">
        <w:rPr>
          <w:lang w:val="en"/>
        </w:rPr>
        <w:t xml:space="preserve"> billion over the past five years. </w:t>
      </w:r>
    </w:p>
    <w:p w14:paraId="0CCBFFA6" w14:textId="77777777" w:rsidR="00A64944" w:rsidRPr="001821AA" w:rsidRDefault="00A64944" w:rsidP="00151017"/>
    <w:p w14:paraId="3ABC7110" w14:textId="34F93DB6" w:rsidR="00DA6F09" w:rsidRPr="001821AA" w:rsidRDefault="00F64E51" w:rsidP="00151017">
      <w:r w:rsidRPr="001821AA">
        <w:rPr>
          <w:lang w:val="en"/>
        </w:rPr>
        <w:t xml:space="preserve">Another way the company is driving change in the world of work is with hybrid collaboration models. “With our ‘Smart Work’ initiative, we are systematically shaping the interplay between working remotely and working on site. Together with their supervisors, teams determine the flexible arrangement of when and where they work for themselves,” Albrecht said. Determining their time and place of work is especially important for software developers, and, as Albrecht says, the need for these professionals is great: “In the Cross-Domain Computing Solutions division in Germany alone, we currently have more than 1,000 vacancies for software experts.” </w:t>
      </w:r>
    </w:p>
    <w:p w14:paraId="544DCFBC" w14:textId="6E9E73E3" w:rsidR="00CD1E69" w:rsidRPr="001821AA" w:rsidRDefault="00CD1E69" w:rsidP="00151017"/>
    <w:p w14:paraId="482742F4" w14:textId="1295FC83" w:rsidR="00D30F57" w:rsidRPr="00ED4EB9" w:rsidRDefault="00F6161C" w:rsidP="00151017">
      <w:pPr>
        <w:rPr>
          <w:b/>
        </w:rPr>
      </w:pPr>
      <w:r w:rsidRPr="00ED4EB9">
        <w:rPr>
          <w:b/>
          <w:bCs/>
          <w:lang w:val="en"/>
        </w:rPr>
        <w:t>Business development in 2021 – all business sectors increased sales</w:t>
      </w:r>
    </w:p>
    <w:p w14:paraId="3F5D713B" w14:textId="59EF5369" w:rsidR="00EB2082" w:rsidRPr="001821AA" w:rsidRDefault="00775A05" w:rsidP="00151017">
      <w:r w:rsidRPr="001821AA">
        <w:rPr>
          <w:lang w:val="en"/>
        </w:rPr>
        <w:t xml:space="preserve">Not only did the Bosch Group’s total sales grow year on year, but they are also higher than in 2019, the year before the crisis. “The company’s broad diversification across different industries and regions paid off once again,” said </w:t>
      </w:r>
      <w:hyperlink r:id="rId19" w:history="1">
        <w:r w:rsidRPr="001821AA">
          <w:rPr>
            <w:rStyle w:val="Hyperlink"/>
            <w:lang w:val="en"/>
          </w:rPr>
          <w:t>Dr. Markus Forschner</w:t>
        </w:r>
      </w:hyperlink>
      <w:r w:rsidRPr="001821AA">
        <w:rPr>
          <w:lang w:val="en"/>
        </w:rPr>
        <w:t xml:space="preserve">, member of the board of management and chief financial officer of Robert Bosch GmbH. “All business sectors increased their sales despite global supply bottlenecks.” The </w:t>
      </w:r>
      <w:r w:rsidRPr="001821AA">
        <w:rPr>
          <w:b/>
          <w:bCs/>
          <w:lang w:val="en"/>
        </w:rPr>
        <w:t>Mobility Solutions</w:t>
      </w:r>
      <w:r w:rsidRPr="001821AA">
        <w:rPr>
          <w:lang w:val="en"/>
        </w:rPr>
        <w:t xml:space="preserve"> business sector, which is the largest and generates the highest sales, recorded significant growth, even though the business environment in the fourth quarter put a brake on developments. Sales rose 7.5 percent to </w:t>
      </w:r>
      <w:r w:rsidR="00E2063A">
        <w:rPr>
          <w:lang w:val="en"/>
        </w:rPr>
        <w:t xml:space="preserve">53.7 </w:t>
      </w:r>
      <w:r w:rsidRPr="001821AA">
        <w:rPr>
          <w:lang w:val="en"/>
        </w:rPr>
        <w:t xml:space="preserve">despite the chip shortage, which had a particularly major impact on the automotive industry. Adjusted for exchange-rate effects, this is an increase of 7.9 percent. The </w:t>
      </w:r>
      <w:r w:rsidRPr="001821AA">
        <w:rPr>
          <w:b/>
          <w:bCs/>
          <w:lang w:val="en"/>
        </w:rPr>
        <w:t xml:space="preserve">Industrial Technology </w:t>
      </w:r>
      <w:r w:rsidRPr="001821AA">
        <w:rPr>
          <w:lang w:val="en"/>
        </w:rPr>
        <w:t xml:space="preserve">business sector benefited particularly from the recovery in the mechanical engineering market and achieved sales of </w:t>
      </w:r>
      <w:r w:rsidR="00E2063A">
        <w:rPr>
          <w:lang w:val="en"/>
        </w:rPr>
        <w:t xml:space="preserve">7.2 </w:t>
      </w:r>
      <w:r w:rsidRPr="001821AA">
        <w:rPr>
          <w:lang w:val="en"/>
        </w:rPr>
        <w:t xml:space="preserve">billion. This is an increase of 20 percent, both in nominal terms and after adjusting for exchange-rate effects. As the CFO pointed out, this meant that sales returned to their pre-crisis level. In the </w:t>
      </w:r>
      <w:r w:rsidRPr="001821AA">
        <w:rPr>
          <w:b/>
          <w:bCs/>
          <w:lang w:val="en"/>
        </w:rPr>
        <w:t>Consumer Goods</w:t>
      </w:r>
      <w:r w:rsidRPr="001821AA">
        <w:rPr>
          <w:lang w:val="en"/>
        </w:rPr>
        <w:t xml:space="preserve"> business sector, products for the home and </w:t>
      </w:r>
      <w:r w:rsidRPr="001821AA">
        <w:rPr>
          <w:lang w:val="en"/>
        </w:rPr>
        <w:lastRenderedPageBreak/>
        <w:t xml:space="preserve">garden were once again in strong demand. At </w:t>
      </w:r>
      <w:r w:rsidR="00E2063A">
        <w:rPr>
          <w:lang w:val="en"/>
        </w:rPr>
        <w:t>24.8</w:t>
      </w:r>
      <w:r w:rsidRPr="001821AA">
        <w:rPr>
          <w:lang w:val="en"/>
        </w:rPr>
        <w:t xml:space="preserve">, sales were significantly above the previous year’s level. This is a rise of 13 percent; adjusted for exchange-rate effects, it is 15 percent. Sales in the </w:t>
      </w:r>
      <w:r w:rsidRPr="001821AA">
        <w:rPr>
          <w:b/>
          <w:bCs/>
          <w:lang w:val="en"/>
        </w:rPr>
        <w:t>Energy and Building Technology</w:t>
      </w:r>
      <w:r w:rsidRPr="001821AA">
        <w:rPr>
          <w:lang w:val="en"/>
        </w:rPr>
        <w:t xml:space="preserve"> business sector rose 11 percent to </w:t>
      </w:r>
      <w:r w:rsidR="00E2063A">
        <w:rPr>
          <w:lang w:val="en"/>
        </w:rPr>
        <w:t>7</w:t>
      </w:r>
      <w:r w:rsidR="00E2063A" w:rsidRPr="001821AA">
        <w:rPr>
          <w:lang w:val="en"/>
        </w:rPr>
        <w:t xml:space="preserve"> </w:t>
      </w:r>
      <w:r w:rsidRPr="001821AA">
        <w:rPr>
          <w:lang w:val="en"/>
        </w:rPr>
        <w:t>billion– growth of 12 percent after adjusting for exchange-rate effects. To quote Forschner, “The business benefited from strong demand for climate-friendly heating technology, with the business sector actually exceeding its pre-crisis level.”</w:t>
      </w:r>
    </w:p>
    <w:p w14:paraId="31CCA157" w14:textId="77777777" w:rsidR="00EB2082" w:rsidRPr="001821AA" w:rsidRDefault="00EB2082" w:rsidP="00151017"/>
    <w:p w14:paraId="4F7ABBD8" w14:textId="5625E5E8" w:rsidR="00D30F57" w:rsidRPr="00ED4EB9" w:rsidRDefault="00F6161C" w:rsidP="00151017">
      <w:pPr>
        <w:rPr>
          <w:b/>
        </w:rPr>
      </w:pPr>
      <w:r w:rsidRPr="00ED4EB9">
        <w:rPr>
          <w:b/>
          <w:bCs/>
          <w:lang w:val="en"/>
        </w:rPr>
        <w:t xml:space="preserve">Business development in 2021 – sales growth in all regions </w:t>
      </w:r>
    </w:p>
    <w:p w14:paraId="1BBA1777" w14:textId="124AF982" w:rsidR="00EB2082" w:rsidRPr="001821AA" w:rsidRDefault="00775A05" w:rsidP="00151017">
      <w:r w:rsidRPr="001821AA">
        <w:rPr>
          <w:lang w:val="en"/>
        </w:rPr>
        <w:t xml:space="preserve">“Regionally as well, Bosch sales grew across the board,” Forschner said. In </w:t>
      </w:r>
      <w:r w:rsidRPr="001821AA">
        <w:rPr>
          <w:b/>
          <w:bCs/>
          <w:lang w:val="en"/>
        </w:rPr>
        <w:t>Europe</w:t>
      </w:r>
      <w:r w:rsidRPr="001821AA">
        <w:rPr>
          <w:lang w:val="en"/>
        </w:rPr>
        <w:t xml:space="preserve">, sales grew by 9.3 percent to </w:t>
      </w:r>
      <w:r w:rsidR="00E2063A">
        <w:rPr>
          <w:lang w:val="en"/>
        </w:rPr>
        <w:t>49</w:t>
      </w:r>
      <w:r w:rsidRPr="001821AA">
        <w:rPr>
          <w:lang w:val="en"/>
        </w:rPr>
        <w:t xml:space="preserve"> billion. After adjusting for exchange-rate effects, this is an increase of 10 percent. In </w:t>
      </w:r>
      <w:r w:rsidRPr="001821AA">
        <w:rPr>
          <w:b/>
          <w:bCs/>
          <w:lang w:val="en"/>
        </w:rPr>
        <w:t>North America</w:t>
      </w:r>
      <w:r w:rsidRPr="001821AA">
        <w:rPr>
          <w:lang w:val="en"/>
        </w:rPr>
        <w:t xml:space="preserve">, sales came to </w:t>
      </w:r>
      <w:r w:rsidR="00E2063A">
        <w:rPr>
          <w:lang w:val="en"/>
        </w:rPr>
        <w:t>13.6</w:t>
      </w:r>
      <w:r w:rsidRPr="001821AA">
        <w:rPr>
          <w:lang w:val="en"/>
        </w:rPr>
        <w:t xml:space="preserve"> billion. The increase in sales of 6.5 percent becomes 10 percent after adjusting for exchange-rate effects. In </w:t>
      </w:r>
      <w:r w:rsidRPr="001821AA">
        <w:rPr>
          <w:b/>
          <w:bCs/>
          <w:lang w:val="en"/>
        </w:rPr>
        <w:t>South America</w:t>
      </w:r>
      <w:r w:rsidRPr="001821AA">
        <w:rPr>
          <w:lang w:val="en"/>
        </w:rPr>
        <w:t>, sales rose to 1.</w:t>
      </w:r>
      <w:r w:rsidR="00E2063A">
        <w:rPr>
          <w:lang w:val="en"/>
        </w:rPr>
        <w:t>6</w:t>
      </w:r>
      <w:r w:rsidR="00E2063A" w:rsidRPr="001821AA">
        <w:rPr>
          <w:lang w:val="en"/>
        </w:rPr>
        <w:t xml:space="preserve"> </w:t>
      </w:r>
      <w:r w:rsidRPr="001821AA">
        <w:rPr>
          <w:lang w:val="en"/>
        </w:rPr>
        <w:t xml:space="preserve">billion– an increase of 32 percent, or 41 percent after adjusting for exchange-rate effects. “This is a very positive development, especially since the region was hit particularly hard by the coronavirus pandemic the previous year,” Forschner explained. In </w:t>
      </w:r>
      <w:r w:rsidRPr="001821AA">
        <w:rPr>
          <w:b/>
          <w:bCs/>
          <w:lang w:val="en"/>
        </w:rPr>
        <w:t>Asia Pacific</w:t>
      </w:r>
      <w:r w:rsidRPr="001821AA">
        <w:rPr>
          <w:lang w:val="en"/>
        </w:rPr>
        <w:t xml:space="preserve">, sales grew by 12 percent to </w:t>
      </w:r>
      <w:r w:rsidR="00E2063A">
        <w:rPr>
          <w:lang w:val="en"/>
        </w:rPr>
        <w:t>28.9</w:t>
      </w:r>
      <w:r w:rsidR="00E2063A" w:rsidRPr="001821AA">
        <w:rPr>
          <w:lang w:val="en"/>
        </w:rPr>
        <w:t xml:space="preserve"> </w:t>
      </w:r>
      <w:r w:rsidRPr="001821AA">
        <w:rPr>
          <w:lang w:val="en"/>
        </w:rPr>
        <w:t>billion– 11 percent after adjusting for exchange-rate effects.</w:t>
      </w:r>
    </w:p>
    <w:p w14:paraId="5C76A33B" w14:textId="77777777" w:rsidR="00EB2082" w:rsidRPr="00ED4EB9" w:rsidRDefault="00EB2082" w:rsidP="00151017"/>
    <w:p w14:paraId="24E160E6" w14:textId="4931038F" w:rsidR="00D30F57" w:rsidRPr="00ED4EB9" w:rsidRDefault="003005B5" w:rsidP="00151017">
      <w:pPr>
        <w:rPr>
          <w:b/>
        </w:rPr>
      </w:pPr>
      <w:r w:rsidRPr="00ED4EB9">
        <w:rPr>
          <w:b/>
          <w:bCs/>
          <w:lang w:val="en"/>
        </w:rPr>
        <w:t>Headcount development in 2021 – slight increase worldwide</w:t>
      </w:r>
    </w:p>
    <w:p w14:paraId="754F2733" w14:textId="730022CA" w:rsidR="001B0855" w:rsidRPr="001821AA" w:rsidRDefault="00EB2082" w:rsidP="00151017">
      <w:r w:rsidRPr="001821AA">
        <w:rPr>
          <w:lang w:val="en"/>
        </w:rPr>
        <w:t xml:space="preserve">As of December 31, 2021, the Bosch Group employs some 401,300 associates worldwide. Most of this increase of some 6,700 related to Asia Pacific and Europe; the number of associates in Germany remained stable at around 131,400. In research and development, the number of associates rose by just under 4 percent to 76,300. The number of software developers worldwide was more than 38,000 – an increase of some 4,000 over the previous year. </w:t>
      </w:r>
    </w:p>
    <w:p w14:paraId="2EC9FC69" w14:textId="77777777" w:rsidR="006B04BD" w:rsidRPr="001821AA" w:rsidRDefault="006B04BD" w:rsidP="00151017">
      <w:pPr>
        <w:rPr>
          <w:b/>
        </w:rPr>
      </w:pPr>
    </w:p>
    <w:p w14:paraId="266CA532" w14:textId="46E4D56A" w:rsidR="00D30F57" w:rsidRPr="00ED4EB9" w:rsidRDefault="00D30F57" w:rsidP="00151017">
      <w:pPr>
        <w:rPr>
          <w:b/>
        </w:rPr>
      </w:pPr>
      <w:r w:rsidRPr="00ED4EB9">
        <w:rPr>
          <w:b/>
          <w:bCs/>
          <w:lang w:val="en"/>
        </w:rPr>
        <w:t>Outlook for 2022 – global economy beset by uncertainty</w:t>
      </w:r>
    </w:p>
    <w:p w14:paraId="6EDA9B4F" w14:textId="7E38479B" w:rsidR="00EB2082" w:rsidRPr="001821AA" w:rsidRDefault="0040106E" w:rsidP="00151017">
      <w:r w:rsidRPr="001821AA">
        <w:rPr>
          <w:lang w:val="en"/>
        </w:rPr>
        <w:t>Bosch expects the global economy to grow between 4 and 4.5 percent in 2022, as against some 5.5 percent in 2021. Despite impressive progress made with vaccinations in many countries, the company expects Covid-19 to continue to impose heavy burdens on society and the economy in 2022. In addition, ongoing supply bottlenecks and rising prices for raw materials, primary products, and transportation will have a major impact on the global economy and affect the business of many sectors, especially the automotive industry. The marked rise in inflation in many sectors and regions is also clouding the outlook. Provided the business environment is not disrupted further, the Bosch Group expects to grow its sales in 2022</w:t>
      </w:r>
      <w:r w:rsidR="008444DB" w:rsidRPr="001821AA">
        <w:rPr>
          <w:lang w:val="en"/>
        </w:rPr>
        <w:t>. It also expects to</w:t>
      </w:r>
      <w:r w:rsidR="001A1119" w:rsidRPr="001821AA">
        <w:rPr>
          <w:lang w:val="en"/>
        </w:rPr>
        <w:t xml:space="preserve"> </w:t>
      </w:r>
      <w:r w:rsidRPr="001821AA">
        <w:rPr>
          <w:lang w:val="en"/>
        </w:rPr>
        <w:t xml:space="preserve">achieve an EBIT margin from operations that is at least on a par with the previous year. Despite these considerable challenges, Forschner remains confident: “Bosch has a sound financial basis for investing in strategically important fields and continuing on its current course.” It </w:t>
      </w:r>
      <w:r w:rsidRPr="001821AA">
        <w:rPr>
          <w:lang w:val="en"/>
        </w:rPr>
        <w:lastRenderedPageBreak/>
        <w:t>remains Bosch’s objective to grow more strongly than the markets in its most important sectors and regions.</w:t>
      </w:r>
    </w:p>
    <w:p w14:paraId="0D05D7CD" w14:textId="6F6EE6A7" w:rsidR="0090380D" w:rsidRDefault="0090380D" w:rsidP="00151017">
      <w:pPr>
        <w:rPr>
          <w:lang w:val="en"/>
        </w:rPr>
      </w:pPr>
    </w:p>
    <w:p w14:paraId="0C937AE0" w14:textId="77777777" w:rsidR="00257BCC" w:rsidRPr="0090380D" w:rsidRDefault="00257BCC" w:rsidP="00151017">
      <w:pPr>
        <w:rPr>
          <w:lang w:val="en"/>
        </w:rPr>
      </w:pPr>
    </w:p>
    <w:p w14:paraId="4199693F" w14:textId="77777777" w:rsidR="00E2063A" w:rsidRPr="00E2063A" w:rsidRDefault="00E2063A" w:rsidP="00E2063A">
      <w:pPr>
        <w:pStyle w:val="Default"/>
        <w:rPr>
          <w:b/>
          <w:bCs/>
          <w:sz w:val="21"/>
          <w:szCs w:val="21"/>
        </w:rPr>
      </w:pPr>
      <w:r w:rsidRPr="00E2063A">
        <w:rPr>
          <w:b/>
          <w:bCs/>
          <w:sz w:val="21"/>
          <w:szCs w:val="21"/>
        </w:rPr>
        <w:t xml:space="preserve">Press Contact </w:t>
      </w:r>
    </w:p>
    <w:p w14:paraId="35677CFD" w14:textId="77777777" w:rsidR="00E2063A" w:rsidRDefault="00E2063A" w:rsidP="00E2063A">
      <w:pPr>
        <w:pStyle w:val="Default"/>
        <w:rPr>
          <w:sz w:val="21"/>
          <w:szCs w:val="21"/>
        </w:rPr>
      </w:pPr>
      <w:r>
        <w:rPr>
          <w:sz w:val="21"/>
          <w:szCs w:val="21"/>
        </w:rPr>
        <w:t xml:space="preserve">Tim Wieland </w:t>
      </w:r>
    </w:p>
    <w:p w14:paraId="5E32CD5A" w14:textId="77777777" w:rsidR="00E2063A" w:rsidRDefault="00E2063A" w:rsidP="00E2063A">
      <w:pPr>
        <w:pStyle w:val="Default"/>
        <w:rPr>
          <w:sz w:val="21"/>
          <w:szCs w:val="21"/>
        </w:rPr>
      </w:pPr>
      <w:r>
        <w:rPr>
          <w:sz w:val="21"/>
          <w:szCs w:val="21"/>
        </w:rPr>
        <w:t xml:space="preserve">Phone: +1 248-876-7708 </w:t>
      </w:r>
    </w:p>
    <w:p w14:paraId="5DFCCE8F" w14:textId="7589FFD7" w:rsidR="00E2063A" w:rsidRDefault="004505EC" w:rsidP="00E2063A">
      <w:pPr>
        <w:pStyle w:val="Default"/>
        <w:rPr>
          <w:sz w:val="21"/>
          <w:szCs w:val="21"/>
        </w:rPr>
      </w:pPr>
      <w:hyperlink r:id="rId20" w:history="1">
        <w:r w:rsidR="00E2063A" w:rsidRPr="00B25DAE">
          <w:rPr>
            <w:rStyle w:val="Hyperlink"/>
            <w:sz w:val="21"/>
            <w:szCs w:val="21"/>
          </w:rPr>
          <w:t>Tim.Wieland@us.bosch.com</w:t>
        </w:r>
      </w:hyperlink>
      <w:r w:rsidR="00E2063A">
        <w:rPr>
          <w:sz w:val="21"/>
          <w:szCs w:val="21"/>
        </w:rPr>
        <w:t xml:space="preserve"> </w:t>
      </w:r>
    </w:p>
    <w:p w14:paraId="726C1C3A" w14:textId="77777777" w:rsidR="00E2063A" w:rsidRDefault="00E2063A" w:rsidP="00E2063A">
      <w:pPr>
        <w:pStyle w:val="Default"/>
        <w:rPr>
          <w:sz w:val="18"/>
          <w:szCs w:val="18"/>
        </w:rPr>
      </w:pPr>
    </w:p>
    <w:p w14:paraId="468D2E1F" w14:textId="654064E9" w:rsidR="00E2063A" w:rsidRPr="00E2063A" w:rsidRDefault="00E2063A" w:rsidP="00E2063A">
      <w:pPr>
        <w:pStyle w:val="Default"/>
        <w:rPr>
          <w:b/>
          <w:bCs/>
          <w:sz w:val="18"/>
          <w:szCs w:val="18"/>
        </w:rPr>
      </w:pPr>
      <w:r w:rsidRPr="00E2063A">
        <w:rPr>
          <w:b/>
          <w:bCs/>
          <w:sz w:val="18"/>
          <w:szCs w:val="18"/>
        </w:rPr>
        <w:t xml:space="preserve">About Bosch </w:t>
      </w:r>
    </w:p>
    <w:p w14:paraId="312F43DD" w14:textId="77777777" w:rsidR="00E2063A" w:rsidRDefault="00E2063A" w:rsidP="00E2063A">
      <w:pPr>
        <w:pStyle w:val="Default"/>
        <w:rPr>
          <w:sz w:val="18"/>
          <w:szCs w:val="18"/>
        </w:rPr>
      </w:pPr>
      <w:r>
        <w:rPr>
          <w:rFonts w:ascii="Arial" w:hAnsi="Arial" w:cs="Arial"/>
          <w:i/>
          <w:iCs/>
          <w:sz w:val="18"/>
          <w:szCs w:val="18"/>
        </w:rPr>
        <w:t xml:space="preserve">Having established a regional presence in 1906 in North America, the Bosch Group employs 35,300 associates in more than 100 locations, as of December 31, 2021. According to preliminary figures, Bosch generated consolidated sales of $13.6 billion in the U.S., Canada and Mexico. For more information, visit www.bosch.us, www.bosch.ca </w:t>
      </w:r>
      <w:r>
        <w:rPr>
          <w:sz w:val="18"/>
          <w:szCs w:val="18"/>
        </w:rPr>
        <w:t xml:space="preserve">and </w:t>
      </w:r>
      <w:r>
        <w:rPr>
          <w:rFonts w:ascii="Arial" w:hAnsi="Arial" w:cs="Arial"/>
          <w:i/>
          <w:iCs/>
          <w:sz w:val="18"/>
          <w:szCs w:val="18"/>
        </w:rPr>
        <w:t xml:space="preserve">www.bosch.mx. </w:t>
      </w:r>
    </w:p>
    <w:p w14:paraId="7D4B3EA3" w14:textId="77777777" w:rsidR="00E2063A" w:rsidRDefault="00E2063A" w:rsidP="00E2063A">
      <w:pPr>
        <w:pStyle w:val="Default"/>
        <w:rPr>
          <w:rFonts w:ascii="Arial" w:hAnsi="Arial" w:cs="Arial"/>
          <w:sz w:val="15"/>
          <w:szCs w:val="15"/>
        </w:rPr>
      </w:pPr>
      <w:r>
        <w:rPr>
          <w:rFonts w:ascii="Arial" w:hAnsi="Arial" w:cs="Arial"/>
          <w:i/>
          <w:iCs/>
          <w:sz w:val="18"/>
          <w:szCs w:val="18"/>
        </w:rPr>
        <w:t xml:space="preserve">The Bosch Group is a leading global supplier of technology and services. It employs roughly 401,300 associates worldwide (as of December 31, 2021). According to preliminary figures, the company generated sales of 78.8 billion euros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w:t>
      </w:r>
      <w:r>
        <w:rPr>
          <w:rFonts w:ascii="Arial" w:hAnsi="Arial" w:cs="Arial"/>
          <w:sz w:val="15"/>
          <w:szCs w:val="15"/>
        </w:rPr>
        <w:t xml:space="preserve">Page 4 of 4 </w:t>
      </w:r>
    </w:p>
    <w:p w14:paraId="4AAEECC0" w14:textId="77777777" w:rsidR="00E2063A" w:rsidRDefault="00E2063A" w:rsidP="00E2063A">
      <w:pPr>
        <w:pStyle w:val="Default"/>
        <w:rPr>
          <w:rFonts w:cs="Times New Roman"/>
          <w:color w:val="auto"/>
        </w:rPr>
      </w:pPr>
    </w:p>
    <w:p w14:paraId="33BD4D34" w14:textId="77777777" w:rsidR="00E2063A" w:rsidRDefault="00E2063A" w:rsidP="00E2063A">
      <w:pPr>
        <w:pStyle w:val="Default"/>
        <w:pageBreakBefore/>
        <w:rPr>
          <w:color w:val="auto"/>
          <w:sz w:val="18"/>
          <w:szCs w:val="18"/>
        </w:rPr>
      </w:pPr>
      <w:r>
        <w:rPr>
          <w:rFonts w:ascii="Arial" w:hAnsi="Arial" w:cs="Arial"/>
          <w:i/>
          <w:iCs/>
          <w:color w:val="auto"/>
          <w:sz w:val="18"/>
          <w:szCs w:val="18"/>
        </w:rPr>
        <w:lastRenderedPageBreak/>
        <w:t xml:space="preserve">quarter of 2020. The basis for the company’s future growth is its innovative strength. At 128 locations across the globe, Bosch employs some 76,300 associates in research and development, of which more than 38,000 are software engineers. </w:t>
      </w:r>
    </w:p>
    <w:p w14:paraId="00479A5D" w14:textId="77777777" w:rsidR="00E2063A" w:rsidRDefault="00E2063A" w:rsidP="00E2063A">
      <w:pPr>
        <w:pStyle w:val="Default"/>
        <w:rPr>
          <w:color w:val="auto"/>
          <w:sz w:val="18"/>
          <w:szCs w:val="18"/>
        </w:rPr>
      </w:pPr>
      <w:r>
        <w:rPr>
          <w:rFonts w:ascii="Arial" w:hAnsi="Arial" w:cs="Arial"/>
          <w:i/>
          <w:iCs/>
          <w:color w:val="auto"/>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The majority of voting rights are held by Robert Bosch Industrietreuhand KG, an industrial trust. The entrepreneurial ownership functions are carried out by the trust. </w:t>
      </w:r>
    </w:p>
    <w:p w14:paraId="55F9866D" w14:textId="77777777" w:rsidR="00E2063A" w:rsidRDefault="00E2063A" w:rsidP="00E2063A">
      <w:pPr>
        <w:pStyle w:val="Default"/>
        <w:rPr>
          <w:rFonts w:ascii="Arial" w:hAnsi="Arial" w:cs="Arial"/>
          <w:color w:val="auto"/>
          <w:sz w:val="18"/>
          <w:szCs w:val="18"/>
        </w:rPr>
      </w:pPr>
      <w:r>
        <w:rPr>
          <w:rFonts w:ascii="Arial" w:hAnsi="Arial" w:cs="Arial"/>
          <w:i/>
          <w:iCs/>
          <w:color w:val="auto"/>
          <w:sz w:val="18"/>
          <w:szCs w:val="18"/>
        </w:rPr>
        <w:t xml:space="preserve">Additional information is available online at www.bosch.com, www.iot.bosch.com, www.bosch-press.com, www.twitter.com/BoschPress, www.instagram.com/boschglobal, www.linkedin.com/company/bosch. </w:t>
      </w:r>
    </w:p>
    <w:p w14:paraId="197163F1" w14:textId="60A6D69E" w:rsidR="00B6480E" w:rsidRPr="001821AA" w:rsidRDefault="00E2063A" w:rsidP="00E2063A">
      <w:pPr>
        <w:rPr>
          <w:i/>
          <w:sz w:val="18"/>
          <w:szCs w:val="18"/>
        </w:rPr>
      </w:pPr>
      <w:r>
        <w:rPr>
          <w:sz w:val="18"/>
          <w:szCs w:val="18"/>
        </w:rPr>
        <w:t>Exchange rate: 1 EUR = 1.1830</w:t>
      </w:r>
    </w:p>
    <w:sectPr w:rsidR="00B6480E" w:rsidRPr="001821AA" w:rsidSect="00F8499B">
      <w:headerReference w:type="default" r:id="rId21"/>
      <w:footerReference w:type="default" r:id="rId22"/>
      <w:headerReference w:type="first" r:id="rId23"/>
      <w:footerReference w:type="first" r:id="rId24"/>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7FB7E" w14:textId="77777777" w:rsidR="004505EC" w:rsidRDefault="004505EC">
      <w:r>
        <w:separator/>
      </w:r>
    </w:p>
  </w:endnote>
  <w:endnote w:type="continuationSeparator" w:id="0">
    <w:p w14:paraId="10977061" w14:textId="77777777" w:rsidR="004505EC" w:rsidRDefault="0045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3BB1B" w14:textId="3637331A" w:rsidR="00C25D64" w:rsidRDefault="00C25D64">
    <w:pPr>
      <w:pStyle w:val="Footer"/>
    </w:pPr>
  </w:p>
  <w:p w14:paraId="7170A3F0" w14:textId="77777777" w:rsidR="001E2884" w:rsidRPr="006C01C8" w:rsidRDefault="001E2884">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D6898" w14:textId="2BFA017B" w:rsidR="00ED4EB9" w:rsidRDefault="00ED4EB9">
    <w:pPr>
      <w:pStyle w:val="Footer"/>
    </w:pPr>
  </w:p>
  <w:tbl>
    <w:tblPr>
      <w:tblW w:w="10503" w:type="dxa"/>
      <w:tblLayout w:type="fixed"/>
      <w:tblCellMar>
        <w:left w:w="0" w:type="dxa"/>
        <w:right w:w="0" w:type="dxa"/>
      </w:tblCellMar>
      <w:tblLook w:val="01E0" w:firstRow="1" w:lastRow="1" w:firstColumn="1" w:lastColumn="1" w:noHBand="0" w:noVBand="0"/>
    </w:tblPr>
    <w:tblGrid>
      <w:gridCol w:w="1560"/>
      <w:gridCol w:w="110"/>
      <w:gridCol w:w="2700"/>
      <w:gridCol w:w="6133"/>
    </w:tblGrid>
    <w:tr w:rsidR="00ED4EB9" w:rsidRPr="006C01C8" w14:paraId="6B1D0281" w14:textId="77777777" w:rsidTr="001E3A63">
      <w:tc>
        <w:tcPr>
          <w:tcW w:w="1560" w:type="dxa"/>
        </w:tcPr>
        <w:p w14:paraId="2BC27A71" w14:textId="77777777" w:rsidR="00ED4EB9" w:rsidRDefault="00ED4EB9" w:rsidP="00ED4EB9">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5EE0181E" w14:textId="77777777" w:rsidR="00ED4EB9" w:rsidRDefault="00ED4EB9" w:rsidP="00ED4EB9">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560A1349" w14:textId="77777777" w:rsidR="00ED4EB9" w:rsidRPr="00FC3E57" w:rsidRDefault="00ED4EB9" w:rsidP="00ED4EB9">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110" w:type="dxa"/>
        </w:tcPr>
        <w:p w14:paraId="5B92AFEF" w14:textId="77777777" w:rsidR="00ED4EB9" w:rsidRDefault="00ED4EB9" w:rsidP="00ED4EB9">
          <w:pPr>
            <w:pStyle w:val="paragraph"/>
            <w:spacing w:before="0" w:beforeAutospacing="0" w:after="0" w:afterAutospacing="0"/>
            <w:textAlignment w:val="baseline"/>
            <w:rPr>
              <w:rStyle w:val="normaltextrun"/>
              <w:rFonts w:ascii="Bosch Office Sans" w:hAnsi="Bosch Office Sans" w:cs="Segoe UI"/>
              <w:sz w:val="15"/>
              <w:szCs w:val="15"/>
              <w:lang w:val="de-DE"/>
            </w:rPr>
          </w:pPr>
        </w:p>
      </w:tc>
      <w:tc>
        <w:tcPr>
          <w:tcW w:w="2700" w:type="dxa"/>
        </w:tcPr>
        <w:p w14:paraId="25744A8E" w14:textId="77777777" w:rsidR="00ED4EB9" w:rsidRDefault="00ED4EB9" w:rsidP="00ED4EB9">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795CDE2F" w14:textId="77777777" w:rsidR="00ED4EB9" w:rsidRDefault="00ED4EB9" w:rsidP="00ED4EB9">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7AC49E8B" w14:textId="77777777" w:rsidR="00ED4EB9" w:rsidRPr="006C01C8" w:rsidRDefault="00ED4EB9" w:rsidP="00ED4EB9">
          <w:pPr>
            <w:pStyle w:val="MLStat"/>
            <w:tabs>
              <w:tab w:val="left" w:pos="-9656"/>
            </w:tabs>
            <w:spacing w:before="0" w:after="0" w:line="226" w:lineRule="atLeast"/>
            <w:ind w:left="0" w:right="0" w:firstLine="0"/>
            <w:rPr>
              <w:rFonts w:ascii="Bosch Office Sans" w:hAnsi="Bosch Office Sans"/>
              <w:sz w:val="15"/>
              <w:szCs w:val="15"/>
            </w:rPr>
          </w:pPr>
        </w:p>
      </w:tc>
      <w:tc>
        <w:tcPr>
          <w:tcW w:w="6133" w:type="dxa"/>
        </w:tcPr>
        <w:p w14:paraId="640322DF" w14:textId="77777777" w:rsidR="00ED4EB9" w:rsidRPr="00BB1795" w:rsidRDefault="00ED4EB9" w:rsidP="00ED4EB9">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675D9FE6" w14:textId="77777777" w:rsidR="00ED4EB9" w:rsidRPr="00BB1795" w:rsidRDefault="00ED4EB9" w:rsidP="00ED4EB9">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0DCC210F" w14:textId="77777777" w:rsidR="00ED4EB9" w:rsidRPr="006C01C8" w:rsidRDefault="00ED4EB9" w:rsidP="00ED4EB9">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6F014752" w14:textId="17798542" w:rsidR="00ED4EB9" w:rsidRDefault="00ED4EB9">
    <w:pPr>
      <w:pStyle w:val="Footer"/>
    </w:pPr>
  </w:p>
  <w:p w14:paraId="0070CF78" w14:textId="77777777" w:rsidR="001E2884" w:rsidRPr="006C01C8" w:rsidRDefault="001E2884">
    <w:pPr>
      <w:pStyle w:val="MLStat"/>
      <w:tabs>
        <w:tab w:val="left" w:pos="-9656"/>
      </w:tabs>
      <w:spacing w:before="0" w:after="0" w:line="226" w:lineRule="atLeast"/>
      <w:ind w:left="0" w:right="0"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CD062" w14:textId="77777777" w:rsidR="004505EC" w:rsidRDefault="004505EC">
      <w:r>
        <w:separator/>
      </w:r>
    </w:p>
  </w:footnote>
  <w:footnote w:type="continuationSeparator" w:id="0">
    <w:p w14:paraId="0B794499" w14:textId="77777777" w:rsidR="004505EC" w:rsidRDefault="004505EC">
      <w:r>
        <w:continuationSeparator/>
      </w:r>
    </w:p>
  </w:footnote>
  <w:footnote w:id="1">
    <w:p w14:paraId="7285CE1F" w14:textId="04CE2C2A" w:rsidR="00DA6F09" w:rsidRPr="00DA6F09" w:rsidRDefault="00DA6F09">
      <w:pPr>
        <w:pStyle w:val="FootnoteText"/>
      </w:pPr>
      <w:r>
        <w:rPr>
          <w:rStyle w:val="FootnoteReference"/>
          <w:lang w:val="en"/>
        </w:rPr>
        <w:footnoteRef/>
      </w:r>
      <w:r>
        <w:rPr>
          <w:lang w:val="en"/>
        </w:rPr>
        <w:t xml:space="preserve"> Based on internal reporting.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5069" w14:textId="77777777" w:rsidR="001E2884" w:rsidRDefault="001E2884"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ABD96D8" w14:textId="77777777" w:rsidR="001E2884" w:rsidRDefault="001E2884"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5650E057" w14:textId="77777777" w:rsidR="001E2884" w:rsidRDefault="001E2884" w:rsidP="007C78E5">
    <w:pPr>
      <w:framePr w:w="4536" w:h="561" w:wrap="around" w:vAnchor="page" w:hAnchor="page" w:xAlign="right" w:y="659" w:anchorLock="1"/>
      <w:tabs>
        <w:tab w:val="right" w:pos="1667"/>
      </w:tabs>
    </w:pPr>
    <w:r>
      <w:rPr>
        <w:lang w:val="en"/>
      </w:rPr>
      <w:tab/>
      <w:t xml:space="preserve"> </w:t>
    </w:r>
  </w:p>
  <w:p w14:paraId="77BB5DD1" w14:textId="77777777" w:rsidR="001E2884" w:rsidRPr="006C01C8" w:rsidRDefault="001E2884" w:rsidP="00C25D64">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1BD18" w14:textId="2377BFCE" w:rsidR="001E2884" w:rsidRPr="006C01C8" w:rsidRDefault="00700AA2"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February 9, 2022</w:t>
    </w:r>
  </w:p>
  <w:p w14:paraId="2FF0035B" w14:textId="05AF5EB2" w:rsidR="001E2884" w:rsidRPr="006C01C8" w:rsidRDefault="001E2884"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w:t>
    </w:r>
    <w:r w:rsidR="00ED4EB9">
      <w:rPr>
        <w:rFonts w:ascii="Bosch Office Sans" w:hAnsi="Bosch Office Sans"/>
        <w:sz w:val="21"/>
        <w:lang w:val="en"/>
      </w:rPr>
      <w:t xml:space="preserve"> 150</w:t>
    </w:r>
  </w:p>
  <w:p w14:paraId="25BD9865" w14:textId="230C23B7" w:rsidR="001E2884" w:rsidRDefault="001E2884">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3C2DED3" w14:textId="05EB191A" w:rsidR="00700AA2" w:rsidRDefault="00700AA2">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p>
  <w:p w14:paraId="758C2877" w14:textId="275DFD4E" w:rsidR="001E2884" w:rsidRDefault="001E2884">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p>
  <w:p w14:paraId="1CF94BE7" w14:textId="77777777" w:rsidR="001E2884" w:rsidRDefault="001E2884">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p>
  <w:p w14:paraId="22E19B56" w14:textId="77777777" w:rsidR="001E2884" w:rsidRPr="00852E6A" w:rsidRDefault="001E2884" w:rsidP="00E070B1">
    <w:pPr>
      <w:framePr w:w="4536" w:h="561" w:wrap="around" w:vAnchor="page" w:hAnchor="page" w:xAlign="right" w:y="659" w:anchorLock="1"/>
      <w:tabs>
        <w:tab w:val="right" w:pos="1667"/>
      </w:tabs>
    </w:pPr>
    <w:r>
      <w:rPr>
        <w:lang w:val="en"/>
      </w:rPr>
      <w:tab/>
    </w:r>
    <w:bookmarkStart w:id="0" w:name="bkmlogo4"/>
    <w:r>
      <w:rPr>
        <w:lang w:val="en"/>
      </w:rPr>
      <w:t xml:space="preserve"> </w:t>
    </w:r>
    <w:r>
      <w:rPr>
        <w:noProof/>
      </w:rPr>
      <w:drawing>
        <wp:inline distT="0" distB="0" distL="0" distR="0" wp14:anchorId="6B26B893" wp14:editId="4783D44A">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0"/>
  </w:p>
  <w:p w14:paraId="4410F17B" w14:textId="77777777" w:rsidR="001E2884" w:rsidRPr="00852E6A" w:rsidRDefault="001E2884">
    <w:pPr>
      <w:pStyle w:val="MLStat"/>
      <w:tabs>
        <w:tab w:val="center" w:pos="4153"/>
        <w:tab w:val="right" w:pos="8306"/>
      </w:tabs>
      <w:spacing w:before="0" w:after="0" w:line="295" w:lineRule="atLeast"/>
      <w:ind w:left="0" w:right="0" w:firstLine="0"/>
      <w:rPr>
        <w:rFonts w:ascii="Bosch Office Sans" w:hAnsi="Bosch Office Sans"/>
      </w:rPr>
    </w:pPr>
  </w:p>
  <w:p w14:paraId="590CE136" w14:textId="77777777" w:rsidR="001E2884" w:rsidRPr="00852E6A" w:rsidRDefault="001E2884">
    <w:pPr>
      <w:pStyle w:val="MLStat"/>
      <w:tabs>
        <w:tab w:val="center" w:pos="4153"/>
        <w:tab w:val="right" w:pos="8306"/>
      </w:tabs>
      <w:spacing w:before="0" w:after="0" w:line="295" w:lineRule="atLeast"/>
      <w:ind w:left="0" w:right="0" w:firstLine="0"/>
      <w:rPr>
        <w:rFonts w:ascii="Bosch Office Sans" w:hAnsi="Bosch Office Sans"/>
      </w:rPr>
    </w:pPr>
  </w:p>
  <w:p w14:paraId="5E28B32D" w14:textId="77777777" w:rsidR="001E2884" w:rsidRPr="00852E6A" w:rsidRDefault="001E2884"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A6EA807" w14:textId="77777777" w:rsidR="001E2884" w:rsidRPr="008029A7" w:rsidRDefault="001E2884"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1" w:name="bkmlogo2"/>
    <w:r>
      <w:rPr>
        <w:rFonts w:ascii="Bosch Office Sans" w:eastAsia="Bosch Office Sans" w:hAnsi="Bosch Office Sans"/>
        <w:color w:val="000000"/>
        <w:sz w:val="20"/>
      </w:rPr>
      <w:drawing>
        <wp:inline distT="0" distB="0" distL="0" distR="0" wp14:anchorId="27740283" wp14:editId="2891171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1"/>
  </w:p>
  <w:p w14:paraId="6230F6D9" w14:textId="77777777" w:rsidR="001E2884" w:rsidRPr="008029A7" w:rsidRDefault="001E2884">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193992"/>
    <w:multiLevelType w:val="hybridMultilevel"/>
    <w:tmpl w:val="9FC612FC"/>
    <w:lvl w:ilvl="0" w:tplc="D1B0CBDA">
      <w:start w:val="1"/>
      <w:numFmt w:val="bullet"/>
      <w:lvlText w:val="-"/>
      <w:lvlJc w:val="left"/>
      <w:pPr>
        <w:tabs>
          <w:tab w:val="num" w:pos="720"/>
        </w:tabs>
        <w:ind w:left="720" w:hanging="360"/>
      </w:pPr>
      <w:rPr>
        <w:rFonts w:ascii="Times New Roman" w:hAnsi="Times New Roman" w:hint="default"/>
      </w:rPr>
    </w:lvl>
    <w:lvl w:ilvl="1" w:tplc="0A5E10CE" w:tentative="1">
      <w:start w:val="1"/>
      <w:numFmt w:val="bullet"/>
      <w:lvlText w:val="-"/>
      <w:lvlJc w:val="left"/>
      <w:pPr>
        <w:tabs>
          <w:tab w:val="num" w:pos="1440"/>
        </w:tabs>
        <w:ind w:left="1440" w:hanging="360"/>
      </w:pPr>
      <w:rPr>
        <w:rFonts w:ascii="Times New Roman" w:hAnsi="Times New Roman" w:hint="default"/>
      </w:rPr>
    </w:lvl>
    <w:lvl w:ilvl="2" w:tplc="EE4C8888" w:tentative="1">
      <w:start w:val="1"/>
      <w:numFmt w:val="bullet"/>
      <w:lvlText w:val="-"/>
      <w:lvlJc w:val="left"/>
      <w:pPr>
        <w:tabs>
          <w:tab w:val="num" w:pos="2160"/>
        </w:tabs>
        <w:ind w:left="2160" w:hanging="360"/>
      </w:pPr>
      <w:rPr>
        <w:rFonts w:ascii="Times New Roman" w:hAnsi="Times New Roman" w:hint="default"/>
      </w:rPr>
    </w:lvl>
    <w:lvl w:ilvl="3" w:tplc="4E568810" w:tentative="1">
      <w:start w:val="1"/>
      <w:numFmt w:val="bullet"/>
      <w:lvlText w:val="-"/>
      <w:lvlJc w:val="left"/>
      <w:pPr>
        <w:tabs>
          <w:tab w:val="num" w:pos="2880"/>
        </w:tabs>
        <w:ind w:left="2880" w:hanging="360"/>
      </w:pPr>
      <w:rPr>
        <w:rFonts w:ascii="Times New Roman" w:hAnsi="Times New Roman" w:hint="default"/>
      </w:rPr>
    </w:lvl>
    <w:lvl w:ilvl="4" w:tplc="64E28F1E" w:tentative="1">
      <w:start w:val="1"/>
      <w:numFmt w:val="bullet"/>
      <w:lvlText w:val="-"/>
      <w:lvlJc w:val="left"/>
      <w:pPr>
        <w:tabs>
          <w:tab w:val="num" w:pos="3600"/>
        </w:tabs>
        <w:ind w:left="3600" w:hanging="360"/>
      </w:pPr>
      <w:rPr>
        <w:rFonts w:ascii="Times New Roman" w:hAnsi="Times New Roman" w:hint="default"/>
      </w:rPr>
    </w:lvl>
    <w:lvl w:ilvl="5" w:tplc="EF9CEBBE" w:tentative="1">
      <w:start w:val="1"/>
      <w:numFmt w:val="bullet"/>
      <w:lvlText w:val="-"/>
      <w:lvlJc w:val="left"/>
      <w:pPr>
        <w:tabs>
          <w:tab w:val="num" w:pos="4320"/>
        </w:tabs>
        <w:ind w:left="4320" w:hanging="360"/>
      </w:pPr>
      <w:rPr>
        <w:rFonts w:ascii="Times New Roman" w:hAnsi="Times New Roman" w:hint="default"/>
      </w:rPr>
    </w:lvl>
    <w:lvl w:ilvl="6" w:tplc="6B6A1C92" w:tentative="1">
      <w:start w:val="1"/>
      <w:numFmt w:val="bullet"/>
      <w:lvlText w:val="-"/>
      <w:lvlJc w:val="left"/>
      <w:pPr>
        <w:tabs>
          <w:tab w:val="num" w:pos="5040"/>
        </w:tabs>
        <w:ind w:left="5040" w:hanging="360"/>
      </w:pPr>
      <w:rPr>
        <w:rFonts w:ascii="Times New Roman" w:hAnsi="Times New Roman" w:hint="default"/>
      </w:rPr>
    </w:lvl>
    <w:lvl w:ilvl="7" w:tplc="504E26FC" w:tentative="1">
      <w:start w:val="1"/>
      <w:numFmt w:val="bullet"/>
      <w:lvlText w:val="-"/>
      <w:lvlJc w:val="left"/>
      <w:pPr>
        <w:tabs>
          <w:tab w:val="num" w:pos="5760"/>
        </w:tabs>
        <w:ind w:left="5760" w:hanging="360"/>
      </w:pPr>
      <w:rPr>
        <w:rFonts w:ascii="Times New Roman" w:hAnsi="Times New Roman" w:hint="default"/>
      </w:rPr>
    </w:lvl>
    <w:lvl w:ilvl="8" w:tplc="085E60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3D8714EE"/>
    <w:multiLevelType w:val="hybridMultilevel"/>
    <w:tmpl w:val="36547BB2"/>
    <w:lvl w:ilvl="0" w:tplc="4A38A632">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8" w15:restartNumberingAfterBreak="0">
    <w:nsid w:val="79551309"/>
    <w:multiLevelType w:val="multilevel"/>
    <w:tmpl w:val="EF509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7A13A7"/>
    <w:multiLevelType w:val="hybridMultilevel"/>
    <w:tmpl w:val="011035C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7E8750E4"/>
    <w:multiLevelType w:val="hybridMultilevel"/>
    <w:tmpl w:val="058AD3F4"/>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3">
      <w:start w:val="1"/>
      <w:numFmt w:val="bullet"/>
      <w:lvlText w:val="o"/>
      <w:lvlJc w:val="left"/>
      <w:pPr>
        <w:ind w:left="1800" w:hanging="360"/>
      </w:pPr>
      <w:rPr>
        <w:rFonts w:ascii="Courier New" w:hAnsi="Courier New" w:cs="Courier New"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2"/>
  </w:num>
  <w:num w:numId="4">
    <w:abstractNumId w:val="4"/>
  </w:num>
  <w:num w:numId="5">
    <w:abstractNumId w:val="5"/>
  </w:num>
  <w:num w:numId="6">
    <w:abstractNumId w:val="0"/>
  </w:num>
  <w:num w:numId="7">
    <w:abstractNumId w:val="10"/>
  </w:num>
  <w:num w:numId="8">
    <w:abstractNumId w:val="1"/>
  </w:num>
  <w:num w:numId="9">
    <w:abstractNumId w:val="3"/>
  </w:num>
  <w:num w:numId="10">
    <w:abstractNumId w:val="9"/>
  </w:num>
  <w:num w:numId="11">
    <w:abstractNumId w:val="8"/>
  </w:num>
  <w:num w:numId="12">
    <w:abstractNumId w:val="1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283"/>
    <w:rsid w:val="00003C1F"/>
    <w:rsid w:val="00003E36"/>
    <w:rsid w:val="00004DD5"/>
    <w:rsid w:val="00005588"/>
    <w:rsid w:val="00006704"/>
    <w:rsid w:val="00010BA6"/>
    <w:rsid w:val="0001199F"/>
    <w:rsid w:val="00011D68"/>
    <w:rsid w:val="00012CF0"/>
    <w:rsid w:val="00014309"/>
    <w:rsid w:val="00015678"/>
    <w:rsid w:val="0001582E"/>
    <w:rsid w:val="0001660F"/>
    <w:rsid w:val="000205F1"/>
    <w:rsid w:val="00020688"/>
    <w:rsid w:val="00020AF4"/>
    <w:rsid w:val="00024B9E"/>
    <w:rsid w:val="00024BB1"/>
    <w:rsid w:val="0002713B"/>
    <w:rsid w:val="00027FF7"/>
    <w:rsid w:val="00030091"/>
    <w:rsid w:val="00030EE2"/>
    <w:rsid w:val="000314B1"/>
    <w:rsid w:val="000320EB"/>
    <w:rsid w:val="00033906"/>
    <w:rsid w:val="00035D4A"/>
    <w:rsid w:val="0003714E"/>
    <w:rsid w:val="0003739D"/>
    <w:rsid w:val="00041335"/>
    <w:rsid w:val="00041D92"/>
    <w:rsid w:val="00041DB5"/>
    <w:rsid w:val="00043A46"/>
    <w:rsid w:val="00045307"/>
    <w:rsid w:val="00045DBC"/>
    <w:rsid w:val="000468C1"/>
    <w:rsid w:val="000516D3"/>
    <w:rsid w:val="00051CA6"/>
    <w:rsid w:val="0005247D"/>
    <w:rsid w:val="00053A99"/>
    <w:rsid w:val="00054901"/>
    <w:rsid w:val="00054B94"/>
    <w:rsid w:val="00055C64"/>
    <w:rsid w:val="00060CE5"/>
    <w:rsid w:val="00061DE9"/>
    <w:rsid w:val="0006538A"/>
    <w:rsid w:val="0006791C"/>
    <w:rsid w:val="00072EA8"/>
    <w:rsid w:val="00074281"/>
    <w:rsid w:val="000753BF"/>
    <w:rsid w:val="00076F6D"/>
    <w:rsid w:val="00077C03"/>
    <w:rsid w:val="000809F6"/>
    <w:rsid w:val="000812AF"/>
    <w:rsid w:val="00086904"/>
    <w:rsid w:val="00087DBF"/>
    <w:rsid w:val="0009248D"/>
    <w:rsid w:val="00093FA0"/>
    <w:rsid w:val="000A0F92"/>
    <w:rsid w:val="000A1BF9"/>
    <w:rsid w:val="000A6C56"/>
    <w:rsid w:val="000A6F8D"/>
    <w:rsid w:val="000A70B5"/>
    <w:rsid w:val="000B07BC"/>
    <w:rsid w:val="000B20FA"/>
    <w:rsid w:val="000B21F4"/>
    <w:rsid w:val="000B28E5"/>
    <w:rsid w:val="000B3C22"/>
    <w:rsid w:val="000B3C2C"/>
    <w:rsid w:val="000B4090"/>
    <w:rsid w:val="000B549E"/>
    <w:rsid w:val="000B5BAD"/>
    <w:rsid w:val="000B7550"/>
    <w:rsid w:val="000C10B4"/>
    <w:rsid w:val="000C13EE"/>
    <w:rsid w:val="000C3492"/>
    <w:rsid w:val="000C581E"/>
    <w:rsid w:val="000C6513"/>
    <w:rsid w:val="000D060F"/>
    <w:rsid w:val="000D2B8D"/>
    <w:rsid w:val="000D2BDF"/>
    <w:rsid w:val="000D3977"/>
    <w:rsid w:val="000D3F1E"/>
    <w:rsid w:val="000D497F"/>
    <w:rsid w:val="000E0669"/>
    <w:rsid w:val="000E0C09"/>
    <w:rsid w:val="000E119F"/>
    <w:rsid w:val="000E1313"/>
    <w:rsid w:val="000E1A93"/>
    <w:rsid w:val="000E36DC"/>
    <w:rsid w:val="000E3C2C"/>
    <w:rsid w:val="000E683B"/>
    <w:rsid w:val="000E69AF"/>
    <w:rsid w:val="000F0073"/>
    <w:rsid w:val="000F1ACA"/>
    <w:rsid w:val="000F1AE3"/>
    <w:rsid w:val="000F2688"/>
    <w:rsid w:val="000F2935"/>
    <w:rsid w:val="000F57B9"/>
    <w:rsid w:val="000F5C30"/>
    <w:rsid w:val="000F609E"/>
    <w:rsid w:val="00101224"/>
    <w:rsid w:val="00103121"/>
    <w:rsid w:val="001040AD"/>
    <w:rsid w:val="00106193"/>
    <w:rsid w:val="00106CD4"/>
    <w:rsid w:val="00106D73"/>
    <w:rsid w:val="001106F1"/>
    <w:rsid w:val="00113EE2"/>
    <w:rsid w:val="00114E2F"/>
    <w:rsid w:val="00115B73"/>
    <w:rsid w:val="001200B8"/>
    <w:rsid w:val="0012261D"/>
    <w:rsid w:val="00123B7E"/>
    <w:rsid w:val="00123CA5"/>
    <w:rsid w:val="00126A64"/>
    <w:rsid w:val="00132283"/>
    <w:rsid w:val="00133485"/>
    <w:rsid w:val="00136176"/>
    <w:rsid w:val="001407E4"/>
    <w:rsid w:val="00140E93"/>
    <w:rsid w:val="001415A8"/>
    <w:rsid w:val="00141FFE"/>
    <w:rsid w:val="001435DF"/>
    <w:rsid w:val="001448B9"/>
    <w:rsid w:val="00145F96"/>
    <w:rsid w:val="00146724"/>
    <w:rsid w:val="00146ADD"/>
    <w:rsid w:val="00147314"/>
    <w:rsid w:val="00147C95"/>
    <w:rsid w:val="00151017"/>
    <w:rsid w:val="00152625"/>
    <w:rsid w:val="0015571C"/>
    <w:rsid w:val="00156C57"/>
    <w:rsid w:val="001616DD"/>
    <w:rsid w:val="00162D68"/>
    <w:rsid w:val="00162D70"/>
    <w:rsid w:val="001638B3"/>
    <w:rsid w:val="00163E15"/>
    <w:rsid w:val="00164E43"/>
    <w:rsid w:val="00164FEF"/>
    <w:rsid w:val="00166B95"/>
    <w:rsid w:val="0016752C"/>
    <w:rsid w:val="00172876"/>
    <w:rsid w:val="00176BC4"/>
    <w:rsid w:val="001774D4"/>
    <w:rsid w:val="001803FB"/>
    <w:rsid w:val="00180A58"/>
    <w:rsid w:val="0018145E"/>
    <w:rsid w:val="001819DF"/>
    <w:rsid w:val="001821AA"/>
    <w:rsid w:val="00182E15"/>
    <w:rsid w:val="00185822"/>
    <w:rsid w:val="001928AD"/>
    <w:rsid w:val="001944BC"/>
    <w:rsid w:val="001949FE"/>
    <w:rsid w:val="0019518C"/>
    <w:rsid w:val="00196348"/>
    <w:rsid w:val="00196E0F"/>
    <w:rsid w:val="001974DB"/>
    <w:rsid w:val="001A1119"/>
    <w:rsid w:val="001A1340"/>
    <w:rsid w:val="001A2A47"/>
    <w:rsid w:val="001A30BF"/>
    <w:rsid w:val="001A5F31"/>
    <w:rsid w:val="001B041F"/>
    <w:rsid w:val="001B0617"/>
    <w:rsid w:val="001B0855"/>
    <w:rsid w:val="001B0CCE"/>
    <w:rsid w:val="001B1693"/>
    <w:rsid w:val="001B170F"/>
    <w:rsid w:val="001B18BC"/>
    <w:rsid w:val="001B1FB4"/>
    <w:rsid w:val="001B310F"/>
    <w:rsid w:val="001B460A"/>
    <w:rsid w:val="001B541E"/>
    <w:rsid w:val="001B5D02"/>
    <w:rsid w:val="001C2AA7"/>
    <w:rsid w:val="001C3446"/>
    <w:rsid w:val="001C3DE3"/>
    <w:rsid w:val="001C43EF"/>
    <w:rsid w:val="001C57B3"/>
    <w:rsid w:val="001C5CEA"/>
    <w:rsid w:val="001C5E6C"/>
    <w:rsid w:val="001C7223"/>
    <w:rsid w:val="001C7E73"/>
    <w:rsid w:val="001D1135"/>
    <w:rsid w:val="001D14A6"/>
    <w:rsid w:val="001D1F27"/>
    <w:rsid w:val="001D2F5A"/>
    <w:rsid w:val="001D3FC0"/>
    <w:rsid w:val="001D5791"/>
    <w:rsid w:val="001D5A78"/>
    <w:rsid w:val="001D7DD8"/>
    <w:rsid w:val="001E0492"/>
    <w:rsid w:val="001E1F46"/>
    <w:rsid w:val="001E2884"/>
    <w:rsid w:val="001E28E2"/>
    <w:rsid w:val="001E32FE"/>
    <w:rsid w:val="001E4669"/>
    <w:rsid w:val="001E6EFE"/>
    <w:rsid w:val="001E7193"/>
    <w:rsid w:val="001F0925"/>
    <w:rsid w:val="001F0C3E"/>
    <w:rsid w:val="001F299C"/>
    <w:rsid w:val="001F352E"/>
    <w:rsid w:val="001F37D8"/>
    <w:rsid w:val="001F6BEB"/>
    <w:rsid w:val="001F7243"/>
    <w:rsid w:val="002005EE"/>
    <w:rsid w:val="002008E8"/>
    <w:rsid w:val="00202135"/>
    <w:rsid w:val="00202582"/>
    <w:rsid w:val="002026AD"/>
    <w:rsid w:val="00204654"/>
    <w:rsid w:val="00205F0C"/>
    <w:rsid w:val="00206982"/>
    <w:rsid w:val="00207896"/>
    <w:rsid w:val="00207CE8"/>
    <w:rsid w:val="00211AC1"/>
    <w:rsid w:val="002124D7"/>
    <w:rsid w:val="002126F9"/>
    <w:rsid w:val="00212BB0"/>
    <w:rsid w:val="00213D5B"/>
    <w:rsid w:val="00214A12"/>
    <w:rsid w:val="002159A3"/>
    <w:rsid w:val="00215DA7"/>
    <w:rsid w:val="00215DB7"/>
    <w:rsid w:val="00216466"/>
    <w:rsid w:val="002171B0"/>
    <w:rsid w:val="0021746F"/>
    <w:rsid w:val="0022343D"/>
    <w:rsid w:val="00223EC5"/>
    <w:rsid w:val="002249CE"/>
    <w:rsid w:val="00230FFA"/>
    <w:rsid w:val="002319DE"/>
    <w:rsid w:val="00231DF0"/>
    <w:rsid w:val="0023288B"/>
    <w:rsid w:val="00234DDD"/>
    <w:rsid w:val="00236A68"/>
    <w:rsid w:val="0024227E"/>
    <w:rsid w:val="00242698"/>
    <w:rsid w:val="00243965"/>
    <w:rsid w:val="0024480C"/>
    <w:rsid w:val="002450E6"/>
    <w:rsid w:val="0024696E"/>
    <w:rsid w:val="0024753A"/>
    <w:rsid w:val="00247AE1"/>
    <w:rsid w:val="00247FD3"/>
    <w:rsid w:val="00252A58"/>
    <w:rsid w:val="002531E8"/>
    <w:rsid w:val="002556F2"/>
    <w:rsid w:val="00256BAF"/>
    <w:rsid w:val="00257BCC"/>
    <w:rsid w:val="00261E28"/>
    <w:rsid w:val="0026353B"/>
    <w:rsid w:val="00267181"/>
    <w:rsid w:val="00267B39"/>
    <w:rsid w:val="00270C6D"/>
    <w:rsid w:val="002712FA"/>
    <w:rsid w:val="00271CA8"/>
    <w:rsid w:val="00273C8D"/>
    <w:rsid w:val="00275B2B"/>
    <w:rsid w:val="0028012D"/>
    <w:rsid w:val="00281B1E"/>
    <w:rsid w:val="002861C8"/>
    <w:rsid w:val="00287E58"/>
    <w:rsid w:val="00287FBA"/>
    <w:rsid w:val="00290894"/>
    <w:rsid w:val="00295A44"/>
    <w:rsid w:val="0029626E"/>
    <w:rsid w:val="00296455"/>
    <w:rsid w:val="002A073A"/>
    <w:rsid w:val="002A0EA2"/>
    <w:rsid w:val="002A1467"/>
    <w:rsid w:val="002A1D59"/>
    <w:rsid w:val="002A1D98"/>
    <w:rsid w:val="002A30A7"/>
    <w:rsid w:val="002A53C7"/>
    <w:rsid w:val="002A6D14"/>
    <w:rsid w:val="002A6DC2"/>
    <w:rsid w:val="002A782A"/>
    <w:rsid w:val="002B2DE5"/>
    <w:rsid w:val="002B4A85"/>
    <w:rsid w:val="002B5C96"/>
    <w:rsid w:val="002B630D"/>
    <w:rsid w:val="002B66F3"/>
    <w:rsid w:val="002B701D"/>
    <w:rsid w:val="002B7520"/>
    <w:rsid w:val="002B75E4"/>
    <w:rsid w:val="002C20F5"/>
    <w:rsid w:val="002C3395"/>
    <w:rsid w:val="002C4EF8"/>
    <w:rsid w:val="002C61DC"/>
    <w:rsid w:val="002D0E16"/>
    <w:rsid w:val="002D3B25"/>
    <w:rsid w:val="002D5538"/>
    <w:rsid w:val="002D61AD"/>
    <w:rsid w:val="002D6F94"/>
    <w:rsid w:val="002E030F"/>
    <w:rsid w:val="002E0CF3"/>
    <w:rsid w:val="002E3A6B"/>
    <w:rsid w:val="002E450C"/>
    <w:rsid w:val="002E4831"/>
    <w:rsid w:val="002E48F8"/>
    <w:rsid w:val="002E4CFF"/>
    <w:rsid w:val="002E6068"/>
    <w:rsid w:val="002F035F"/>
    <w:rsid w:val="002F0416"/>
    <w:rsid w:val="002F08C7"/>
    <w:rsid w:val="002F2202"/>
    <w:rsid w:val="002F2AE9"/>
    <w:rsid w:val="002F35E5"/>
    <w:rsid w:val="002F39A3"/>
    <w:rsid w:val="002F492A"/>
    <w:rsid w:val="002F501E"/>
    <w:rsid w:val="002F51CF"/>
    <w:rsid w:val="002F57ED"/>
    <w:rsid w:val="002F72B6"/>
    <w:rsid w:val="002F7EAD"/>
    <w:rsid w:val="0030024A"/>
    <w:rsid w:val="003005B5"/>
    <w:rsid w:val="00301635"/>
    <w:rsid w:val="003023C5"/>
    <w:rsid w:val="00302FD4"/>
    <w:rsid w:val="003042E3"/>
    <w:rsid w:val="00305B97"/>
    <w:rsid w:val="0031061F"/>
    <w:rsid w:val="00311909"/>
    <w:rsid w:val="00311FA6"/>
    <w:rsid w:val="00312C76"/>
    <w:rsid w:val="003163B9"/>
    <w:rsid w:val="0031644D"/>
    <w:rsid w:val="003223F9"/>
    <w:rsid w:val="00323236"/>
    <w:rsid w:val="00323902"/>
    <w:rsid w:val="00324939"/>
    <w:rsid w:val="00327FCA"/>
    <w:rsid w:val="003306B8"/>
    <w:rsid w:val="00330798"/>
    <w:rsid w:val="00334206"/>
    <w:rsid w:val="0033522C"/>
    <w:rsid w:val="00336BEF"/>
    <w:rsid w:val="00337A28"/>
    <w:rsid w:val="00337F1D"/>
    <w:rsid w:val="0034079D"/>
    <w:rsid w:val="00341117"/>
    <w:rsid w:val="003430F1"/>
    <w:rsid w:val="00345D47"/>
    <w:rsid w:val="003463F5"/>
    <w:rsid w:val="00351440"/>
    <w:rsid w:val="00353BEF"/>
    <w:rsid w:val="003566AC"/>
    <w:rsid w:val="003572A4"/>
    <w:rsid w:val="003574EB"/>
    <w:rsid w:val="003615A3"/>
    <w:rsid w:val="003643B0"/>
    <w:rsid w:val="00364A71"/>
    <w:rsid w:val="00367F16"/>
    <w:rsid w:val="00370C86"/>
    <w:rsid w:val="003718CB"/>
    <w:rsid w:val="003749D9"/>
    <w:rsid w:val="003758F8"/>
    <w:rsid w:val="00376774"/>
    <w:rsid w:val="003772D8"/>
    <w:rsid w:val="003774BC"/>
    <w:rsid w:val="003830D2"/>
    <w:rsid w:val="00387B61"/>
    <w:rsid w:val="00387BD3"/>
    <w:rsid w:val="003905B6"/>
    <w:rsid w:val="0039145A"/>
    <w:rsid w:val="00391C8B"/>
    <w:rsid w:val="0039382C"/>
    <w:rsid w:val="003953A0"/>
    <w:rsid w:val="00397465"/>
    <w:rsid w:val="003A1AC3"/>
    <w:rsid w:val="003A1E5B"/>
    <w:rsid w:val="003A28B5"/>
    <w:rsid w:val="003A2A6E"/>
    <w:rsid w:val="003A32E4"/>
    <w:rsid w:val="003A3545"/>
    <w:rsid w:val="003A49F7"/>
    <w:rsid w:val="003A4F6C"/>
    <w:rsid w:val="003A697F"/>
    <w:rsid w:val="003B0429"/>
    <w:rsid w:val="003B2FCF"/>
    <w:rsid w:val="003B41D2"/>
    <w:rsid w:val="003B4730"/>
    <w:rsid w:val="003B4772"/>
    <w:rsid w:val="003B4B48"/>
    <w:rsid w:val="003B5EDD"/>
    <w:rsid w:val="003B6152"/>
    <w:rsid w:val="003B7296"/>
    <w:rsid w:val="003C0358"/>
    <w:rsid w:val="003C104C"/>
    <w:rsid w:val="003C3700"/>
    <w:rsid w:val="003C384C"/>
    <w:rsid w:val="003C4AF5"/>
    <w:rsid w:val="003C5433"/>
    <w:rsid w:val="003C695E"/>
    <w:rsid w:val="003D0CFA"/>
    <w:rsid w:val="003D1C22"/>
    <w:rsid w:val="003D1E56"/>
    <w:rsid w:val="003D7751"/>
    <w:rsid w:val="003D7FA8"/>
    <w:rsid w:val="003E2182"/>
    <w:rsid w:val="003E33D4"/>
    <w:rsid w:val="003E5A8F"/>
    <w:rsid w:val="003E6E15"/>
    <w:rsid w:val="003E7F1E"/>
    <w:rsid w:val="003F0168"/>
    <w:rsid w:val="003F11D4"/>
    <w:rsid w:val="003F1437"/>
    <w:rsid w:val="003F7652"/>
    <w:rsid w:val="004007BF"/>
    <w:rsid w:val="0040106E"/>
    <w:rsid w:val="00401896"/>
    <w:rsid w:val="00403BA1"/>
    <w:rsid w:val="00404206"/>
    <w:rsid w:val="004043AC"/>
    <w:rsid w:val="0040700D"/>
    <w:rsid w:val="004104FF"/>
    <w:rsid w:val="00410841"/>
    <w:rsid w:val="00412530"/>
    <w:rsid w:val="0041269E"/>
    <w:rsid w:val="00413A2D"/>
    <w:rsid w:val="00414AFF"/>
    <w:rsid w:val="004153F6"/>
    <w:rsid w:val="004179D7"/>
    <w:rsid w:val="004208F0"/>
    <w:rsid w:val="004237D2"/>
    <w:rsid w:val="00423821"/>
    <w:rsid w:val="004239FB"/>
    <w:rsid w:val="00423F52"/>
    <w:rsid w:val="00424F22"/>
    <w:rsid w:val="004266D2"/>
    <w:rsid w:val="0042777D"/>
    <w:rsid w:val="00427EB8"/>
    <w:rsid w:val="00430504"/>
    <w:rsid w:val="004308D2"/>
    <w:rsid w:val="0043186F"/>
    <w:rsid w:val="00433F10"/>
    <w:rsid w:val="00434054"/>
    <w:rsid w:val="00434EB9"/>
    <w:rsid w:val="00441C62"/>
    <w:rsid w:val="00443F9C"/>
    <w:rsid w:val="004443E3"/>
    <w:rsid w:val="00445AC3"/>
    <w:rsid w:val="00447790"/>
    <w:rsid w:val="004505EC"/>
    <w:rsid w:val="00454C5A"/>
    <w:rsid w:val="00455344"/>
    <w:rsid w:val="004578B9"/>
    <w:rsid w:val="004633F1"/>
    <w:rsid w:val="004649A3"/>
    <w:rsid w:val="004660EF"/>
    <w:rsid w:val="004711E7"/>
    <w:rsid w:val="00473311"/>
    <w:rsid w:val="00473756"/>
    <w:rsid w:val="0047454C"/>
    <w:rsid w:val="0047488F"/>
    <w:rsid w:val="00475147"/>
    <w:rsid w:val="004753E3"/>
    <w:rsid w:val="004755B3"/>
    <w:rsid w:val="004841D0"/>
    <w:rsid w:val="0048535F"/>
    <w:rsid w:val="00486089"/>
    <w:rsid w:val="004866EB"/>
    <w:rsid w:val="00487BA8"/>
    <w:rsid w:val="00490B33"/>
    <w:rsid w:val="004936CA"/>
    <w:rsid w:val="00493738"/>
    <w:rsid w:val="00494A45"/>
    <w:rsid w:val="00494D00"/>
    <w:rsid w:val="00496444"/>
    <w:rsid w:val="004978B6"/>
    <w:rsid w:val="004A1763"/>
    <w:rsid w:val="004A22E6"/>
    <w:rsid w:val="004A239B"/>
    <w:rsid w:val="004A4207"/>
    <w:rsid w:val="004A5700"/>
    <w:rsid w:val="004A7E46"/>
    <w:rsid w:val="004B1EE2"/>
    <w:rsid w:val="004B27B4"/>
    <w:rsid w:val="004B281A"/>
    <w:rsid w:val="004B2BBE"/>
    <w:rsid w:val="004B4A85"/>
    <w:rsid w:val="004B527D"/>
    <w:rsid w:val="004C12C1"/>
    <w:rsid w:val="004C2814"/>
    <w:rsid w:val="004C571E"/>
    <w:rsid w:val="004C6FBE"/>
    <w:rsid w:val="004D20E7"/>
    <w:rsid w:val="004D6525"/>
    <w:rsid w:val="004E02A5"/>
    <w:rsid w:val="004E060F"/>
    <w:rsid w:val="004E1047"/>
    <w:rsid w:val="004E21FD"/>
    <w:rsid w:val="004E2D95"/>
    <w:rsid w:val="004E3156"/>
    <w:rsid w:val="004E396B"/>
    <w:rsid w:val="004E435F"/>
    <w:rsid w:val="004E6E84"/>
    <w:rsid w:val="004F25AD"/>
    <w:rsid w:val="004F36ED"/>
    <w:rsid w:val="004F3819"/>
    <w:rsid w:val="004F4DE3"/>
    <w:rsid w:val="004F5E20"/>
    <w:rsid w:val="0050016D"/>
    <w:rsid w:val="005009F8"/>
    <w:rsid w:val="00503E1C"/>
    <w:rsid w:val="00505269"/>
    <w:rsid w:val="00505D24"/>
    <w:rsid w:val="00506281"/>
    <w:rsid w:val="00507C5B"/>
    <w:rsid w:val="005133CE"/>
    <w:rsid w:val="00514657"/>
    <w:rsid w:val="005165F1"/>
    <w:rsid w:val="0052127D"/>
    <w:rsid w:val="00526384"/>
    <w:rsid w:val="00527480"/>
    <w:rsid w:val="00533CE9"/>
    <w:rsid w:val="00534405"/>
    <w:rsid w:val="005361A9"/>
    <w:rsid w:val="005362C9"/>
    <w:rsid w:val="00537285"/>
    <w:rsid w:val="00537509"/>
    <w:rsid w:val="00540604"/>
    <w:rsid w:val="00541356"/>
    <w:rsid w:val="00542167"/>
    <w:rsid w:val="0054337A"/>
    <w:rsid w:val="005437B1"/>
    <w:rsid w:val="00543978"/>
    <w:rsid w:val="00545F97"/>
    <w:rsid w:val="00552344"/>
    <w:rsid w:val="005540A2"/>
    <w:rsid w:val="00557CBD"/>
    <w:rsid w:val="0056104B"/>
    <w:rsid w:val="005619D1"/>
    <w:rsid w:val="00561FC7"/>
    <w:rsid w:val="0056322C"/>
    <w:rsid w:val="00564B52"/>
    <w:rsid w:val="00565055"/>
    <w:rsid w:val="00565482"/>
    <w:rsid w:val="005660CE"/>
    <w:rsid w:val="0056611F"/>
    <w:rsid w:val="00566C08"/>
    <w:rsid w:val="00571C93"/>
    <w:rsid w:val="00573977"/>
    <w:rsid w:val="00574B2B"/>
    <w:rsid w:val="00574F7F"/>
    <w:rsid w:val="005805E9"/>
    <w:rsid w:val="00580966"/>
    <w:rsid w:val="00580ACA"/>
    <w:rsid w:val="00581152"/>
    <w:rsid w:val="00581E1E"/>
    <w:rsid w:val="00582741"/>
    <w:rsid w:val="00583097"/>
    <w:rsid w:val="00583C79"/>
    <w:rsid w:val="00584994"/>
    <w:rsid w:val="00584B87"/>
    <w:rsid w:val="00584FD6"/>
    <w:rsid w:val="00586A85"/>
    <w:rsid w:val="00590114"/>
    <w:rsid w:val="00590225"/>
    <w:rsid w:val="00591390"/>
    <w:rsid w:val="00591C41"/>
    <w:rsid w:val="00592CD6"/>
    <w:rsid w:val="00592EC2"/>
    <w:rsid w:val="00593A21"/>
    <w:rsid w:val="00596A80"/>
    <w:rsid w:val="0059736D"/>
    <w:rsid w:val="005A0A62"/>
    <w:rsid w:val="005A34AC"/>
    <w:rsid w:val="005A3BDE"/>
    <w:rsid w:val="005A3CE9"/>
    <w:rsid w:val="005A4ABB"/>
    <w:rsid w:val="005A59D1"/>
    <w:rsid w:val="005A72DE"/>
    <w:rsid w:val="005B048C"/>
    <w:rsid w:val="005B4945"/>
    <w:rsid w:val="005B6133"/>
    <w:rsid w:val="005C0703"/>
    <w:rsid w:val="005C0C8B"/>
    <w:rsid w:val="005C20E7"/>
    <w:rsid w:val="005C235B"/>
    <w:rsid w:val="005C2E48"/>
    <w:rsid w:val="005C4AD6"/>
    <w:rsid w:val="005C774B"/>
    <w:rsid w:val="005D0489"/>
    <w:rsid w:val="005D4363"/>
    <w:rsid w:val="005D7E93"/>
    <w:rsid w:val="005E150F"/>
    <w:rsid w:val="005E186D"/>
    <w:rsid w:val="005E2021"/>
    <w:rsid w:val="005E2B4A"/>
    <w:rsid w:val="005E3F82"/>
    <w:rsid w:val="005E4157"/>
    <w:rsid w:val="005E475D"/>
    <w:rsid w:val="005E5603"/>
    <w:rsid w:val="005F0EC9"/>
    <w:rsid w:val="005F131B"/>
    <w:rsid w:val="005F331C"/>
    <w:rsid w:val="006008AD"/>
    <w:rsid w:val="00600B67"/>
    <w:rsid w:val="00600D75"/>
    <w:rsid w:val="00601881"/>
    <w:rsid w:val="00602274"/>
    <w:rsid w:val="00604C32"/>
    <w:rsid w:val="00606AC0"/>
    <w:rsid w:val="0060729C"/>
    <w:rsid w:val="006107C0"/>
    <w:rsid w:val="0061529C"/>
    <w:rsid w:val="00620444"/>
    <w:rsid w:val="00621307"/>
    <w:rsid w:val="00621952"/>
    <w:rsid w:val="006225F5"/>
    <w:rsid w:val="00622EA5"/>
    <w:rsid w:val="00623713"/>
    <w:rsid w:val="00623DB9"/>
    <w:rsid w:val="00627FB3"/>
    <w:rsid w:val="00632597"/>
    <w:rsid w:val="006356BF"/>
    <w:rsid w:val="00641AB2"/>
    <w:rsid w:val="00642917"/>
    <w:rsid w:val="00642D17"/>
    <w:rsid w:val="00642EA2"/>
    <w:rsid w:val="00647075"/>
    <w:rsid w:val="0064725F"/>
    <w:rsid w:val="00647928"/>
    <w:rsid w:val="00647B2C"/>
    <w:rsid w:val="006521CC"/>
    <w:rsid w:val="0065459F"/>
    <w:rsid w:val="00660885"/>
    <w:rsid w:val="00665629"/>
    <w:rsid w:val="006660AC"/>
    <w:rsid w:val="00666584"/>
    <w:rsid w:val="006669DE"/>
    <w:rsid w:val="00666EB4"/>
    <w:rsid w:val="00670068"/>
    <w:rsid w:val="0067468D"/>
    <w:rsid w:val="00674D77"/>
    <w:rsid w:val="006755E6"/>
    <w:rsid w:val="00677056"/>
    <w:rsid w:val="00680655"/>
    <w:rsid w:val="006806C6"/>
    <w:rsid w:val="00680A24"/>
    <w:rsid w:val="006818B4"/>
    <w:rsid w:val="00681BDF"/>
    <w:rsid w:val="00681F88"/>
    <w:rsid w:val="0068265F"/>
    <w:rsid w:val="00683E8B"/>
    <w:rsid w:val="00683F84"/>
    <w:rsid w:val="00685C24"/>
    <w:rsid w:val="00690F05"/>
    <w:rsid w:val="0069113B"/>
    <w:rsid w:val="00691502"/>
    <w:rsid w:val="006917D3"/>
    <w:rsid w:val="006930E3"/>
    <w:rsid w:val="00693283"/>
    <w:rsid w:val="00694905"/>
    <w:rsid w:val="006963CF"/>
    <w:rsid w:val="00697958"/>
    <w:rsid w:val="006A371B"/>
    <w:rsid w:val="006A43B3"/>
    <w:rsid w:val="006A52C4"/>
    <w:rsid w:val="006A5B00"/>
    <w:rsid w:val="006B0166"/>
    <w:rsid w:val="006B04BD"/>
    <w:rsid w:val="006B1E42"/>
    <w:rsid w:val="006B2E34"/>
    <w:rsid w:val="006B3E49"/>
    <w:rsid w:val="006B5771"/>
    <w:rsid w:val="006B594D"/>
    <w:rsid w:val="006B6A41"/>
    <w:rsid w:val="006C01C8"/>
    <w:rsid w:val="006C0A92"/>
    <w:rsid w:val="006C2224"/>
    <w:rsid w:val="006C38A0"/>
    <w:rsid w:val="006C50D1"/>
    <w:rsid w:val="006C6100"/>
    <w:rsid w:val="006D0DF5"/>
    <w:rsid w:val="006D0E4E"/>
    <w:rsid w:val="006D29CD"/>
    <w:rsid w:val="006D2DC1"/>
    <w:rsid w:val="006D3D4F"/>
    <w:rsid w:val="006E1E94"/>
    <w:rsid w:val="006E1F66"/>
    <w:rsid w:val="006E318D"/>
    <w:rsid w:val="006E33EC"/>
    <w:rsid w:val="006E3E43"/>
    <w:rsid w:val="006E42A1"/>
    <w:rsid w:val="006E43FB"/>
    <w:rsid w:val="006F0731"/>
    <w:rsid w:val="006F0FC3"/>
    <w:rsid w:val="006F26DC"/>
    <w:rsid w:val="006F2D9B"/>
    <w:rsid w:val="006F2DEB"/>
    <w:rsid w:val="006F393A"/>
    <w:rsid w:val="006F57CF"/>
    <w:rsid w:val="006F66F7"/>
    <w:rsid w:val="006F7CE4"/>
    <w:rsid w:val="006F7E84"/>
    <w:rsid w:val="00700845"/>
    <w:rsid w:val="00700AA2"/>
    <w:rsid w:val="00704426"/>
    <w:rsid w:val="00705724"/>
    <w:rsid w:val="00705E20"/>
    <w:rsid w:val="007060FA"/>
    <w:rsid w:val="00706DE7"/>
    <w:rsid w:val="0071444D"/>
    <w:rsid w:val="00714965"/>
    <w:rsid w:val="0071503F"/>
    <w:rsid w:val="0071540D"/>
    <w:rsid w:val="00715F48"/>
    <w:rsid w:val="00716043"/>
    <w:rsid w:val="0071625D"/>
    <w:rsid w:val="00723BCD"/>
    <w:rsid w:val="00731BA3"/>
    <w:rsid w:val="00732064"/>
    <w:rsid w:val="00732318"/>
    <w:rsid w:val="0073252F"/>
    <w:rsid w:val="00734361"/>
    <w:rsid w:val="00735116"/>
    <w:rsid w:val="0073559C"/>
    <w:rsid w:val="00735756"/>
    <w:rsid w:val="00736190"/>
    <w:rsid w:val="0073756B"/>
    <w:rsid w:val="007377A5"/>
    <w:rsid w:val="007408DC"/>
    <w:rsid w:val="00740BE3"/>
    <w:rsid w:val="00742A8F"/>
    <w:rsid w:val="00742F07"/>
    <w:rsid w:val="00744179"/>
    <w:rsid w:val="007441A6"/>
    <w:rsid w:val="00744EEA"/>
    <w:rsid w:val="007463CF"/>
    <w:rsid w:val="00747826"/>
    <w:rsid w:val="0075093B"/>
    <w:rsid w:val="00751992"/>
    <w:rsid w:val="00751AE0"/>
    <w:rsid w:val="007525C6"/>
    <w:rsid w:val="007546D5"/>
    <w:rsid w:val="00757BB2"/>
    <w:rsid w:val="0076014B"/>
    <w:rsid w:val="00765DD5"/>
    <w:rsid w:val="00765F6C"/>
    <w:rsid w:val="00767102"/>
    <w:rsid w:val="0077021B"/>
    <w:rsid w:val="007704EF"/>
    <w:rsid w:val="00773113"/>
    <w:rsid w:val="0077316D"/>
    <w:rsid w:val="0077399D"/>
    <w:rsid w:val="00775A05"/>
    <w:rsid w:val="00776490"/>
    <w:rsid w:val="00783C2A"/>
    <w:rsid w:val="0078485E"/>
    <w:rsid w:val="007854B6"/>
    <w:rsid w:val="0079319A"/>
    <w:rsid w:val="0079546C"/>
    <w:rsid w:val="00796DAB"/>
    <w:rsid w:val="007A1127"/>
    <w:rsid w:val="007A2CC8"/>
    <w:rsid w:val="007A2ED7"/>
    <w:rsid w:val="007B1B54"/>
    <w:rsid w:val="007B2B68"/>
    <w:rsid w:val="007B302A"/>
    <w:rsid w:val="007B36F9"/>
    <w:rsid w:val="007B5F3A"/>
    <w:rsid w:val="007C007D"/>
    <w:rsid w:val="007C0196"/>
    <w:rsid w:val="007C0EE5"/>
    <w:rsid w:val="007C243D"/>
    <w:rsid w:val="007C4686"/>
    <w:rsid w:val="007C78E5"/>
    <w:rsid w:val="007C7B4D"/>
    <w:rsid w:val="007D0110"/>
    <w:rsid w:val="007D24A4"/>
    <w:rsid w:val="007D255C"/>
    <w:rsid w:val="007D349C"/>
    <w:rsid w:val="007D534C"/>
    <w:rsid w:val="007D5B2D"/>
    <w:rsid w:val="007E0997"/>
    <w:rsid w:val="007E0EFE"/>
    <w:rsid w:val="007E1CC2"/>
    <w:rsid w:val="007E524F"/>
    <w:rsid w:val="007F4A75"/>
    <w:rsid w:val="00800F69"/>
    <w:rsid w:val="00800FCE"/>
    <w:rsid w:val="008010C9"/>
    <w:rsid w:val="00801AF8"/>
    <w:rsid w:val="00801BD5"/>
    <w:rsid w:val="008029A7"/>
    <w:rsid w:val="008035B9"/>
    <w:rsid w:val="00812627"/>
    <w:rsid w:val="00813378"/>
    <w:rsid w:val="00814280"/>
    <w:rsid w:val="00814659"/>
    <w:rsid w:val="00814DD1"/>
    <w:rsid w:val="00816032"/>
    <w:rsid w:val="0081643A"/>
    <w:rsid w:val="00817E07"/>
    <w:rsid w:val="00821BB4"/>
    <w:rsid w:val="008223D8"/>
    <w:rsid w:val="00825693"/>
    <w:rsid w:val="008271BA"/>
    <w:rsid w:val="00831AEB"/>
    <w:rsid w:val="00835C6C"/>
    <w:rsid w:val="00836A7A"/>
    <w:rsid w:val="00837099"/>
    <w:rsid w:val="00843CEC"/>
    <w:rsid w:val="008444DB"/>
    <w:rsid w:val="008450D8"/>
    <w:rsid w:val="00845329"/>
    <w:rsid w:val="00851819"/>
    <w:rsid w:val="00852E6A"/>
    <w:rsid w:val="008557AB"/>
    <w:rsid w:val="00855878"/>
    <w:rsid w:val="00855BAF"/>
    <w:rsid w:val="0085649C"/>
    <w:rsid w:val="00857173"/>
    <w:rsid w:val="00857350"/>
    <w:rsid w:val="008605F4"/>
    <w:rsid w:val="00860895"/>
    <w:rsid w:val="00861655"/>
    <w:rsid w:val="00863D45"/>
    <w:rsid w:val="00865C7F"/>
    <w:rsid w:val="008664B0"/>
    <w:rsid w:val="008710E2"/>
    <w:rsid w:val="008754F1"/>
    <w:rsid w:val="008762AD"/>
    <w:rsid w:val="00876E7F"/>
    <w:rsid w:val="00877239"/>
    <w:rsid w:val="008773C0"/>
    <w:rsid w:val="008805DF"/>
    <w:rsid w:val="0088078F"/>
    <w:rsid w:val="008829C6"/>
    <w:rsid w:val="00882F7D"/>
    <w:rsid w:val="0088540E"/>
    <w:rsid w:val="00887814"/>
    <w:rsid w:val="00887C1E"/>
    <w:rsid w:val="00894559"/>
    <w:rsid w:val="008955A0"/>
    <w:rsid w:val="00897928"/>
    <w:rsid w:val="008A1B30"/>
    <w:rsid w:val="008A1BB9"/>
    <w:rsid w:val="008A3A55"/>
    <w:rsid w:val="008A44CD"/>
    <w:rsid w:val="008A470F"/>
    <w:rsid w:val="008B2367"/>
    <w:rsid w:val="008B38C7"/>
    <w:rsid w:val="008B722B"/>
    <w:rsid w:val="008B73C1"/>
    <w:rsid w:val="008C05CD"/>
    <w:rsid w:val="008C1642"/>
    <w:rsid w:val="008C3D0E"/>
    <w:rsid w:val="008D13E1"/>
    <w:rsid w:val="008D2DC8"/>
    <w:rsid w:val="008D4370"/>
    <w:rsid w:val="008D4ADB"/>
    <w:rsid w:val="008D62FB"/>
    <w:rsid w:val="008D7BA8"/>
    <w:rsid w:val="008D7DE3"/>
    <w:rsid w:val="008E0478"/>
    <w:rsid w:val="008E3AB2"/>
    <w:rsid w:val="008E405B"/>
    <w:rsid w:val="008E4114"/>
    <w:rsid w:val="008E4186"/>
    <w:rsid w:val="008F00FA"/>
    <w:rsid w:val="008F3C13"/>
    <w:rsid w:val="00901F93"/>
    <w:rsid w:val="0090380D"/>
    <w:rsid w:val="00904BC4"/>
    <w:rsid w:val="0090773E"/>
    <w:rsid w:val="009079E2"/>
    <w:rsid w:val="00907E30"/>
    <w:rsid w:val="00907E7C"/>
    <w:rsid w:val="00913ADD"/>
    <w:rsid w:val="00913D83"/>
    <w:rsid w:val="00914A40"/>
    <w:rsid w:val="00914FC3"/>
    <w:rsid w:val="00917986"/>
    <w:rsid w:val="009210E7"/>
    <w:rsid w:val="00922138"/>
    <w:rsid w:val="009225F6"/>
    <w:rsid w:val="00922B7A"/>
    <w:rsid w:val="009247BD"/>
    <w:rsid w:val="0092559C"/>
    <w:rsid w:val="00926D49"/>
    <w:rsid w:val="00930BB6"/>
    <w:rsid w:val="00930D09"/>
    <w:rsid w:val="009330C0"/>
    <w:rsid w:val="0093331C"/>
    <w:rsid w:val="00934941"/>
    <w:rsid w:val="00934D24"/>
    <w:rsid w:val="00935D96"/>
    <w:rsid w:val="0093731C"/>
    <w:rsid w:val="0094278C"/>
    <w:rsid w:val="0094382E"/>
    <w:rsid w:val="00944575"/>
    <w:rsid w:val="00945EF2"/>
    <w:rsid w:val="00947058"/>
    <w:rsid w:val="00947AB2"/>
    <w:rsid w:val="00950B6A"/>
    <w:rsid w:val="00950D33"/>
    <w:rsid w:val="0095370F"/>
    <w:rsid w:val="00954431"/>
    <w:rsid w:val="009619F6"/>
    <w:rsid w:val="009627EB"/>
    <w:rsid w:val="00962822"/>
    <w:rsid w:val="00963AEC"/>
    <w:rsid w:val="009656FB"/>
    <w:rsid w:val="009658D0"/>
    <w:rsid w:val="009676C4"/>
    <w:rsid w:val="00967DAB"/>
    <w:rsid w:val="0097176A"/>
    <w:rsid w:val="00971C38"/>
    <w:rsid w:val="00971E4D"/>
    <w:rsid w:val="009723A4"/>
    <w:rsid w:val="009728DF"/>
    <w:rsid w:val="00972C6A"/>
    <w:rsid w:val="00972DDC"/>
    <w:rsid w:val="00977C07"/>
    <w:rsid w:val="00984269"/>
    <w:rsid w:val="00985904"/>
    <w:rsid w:val="00986271"/>
    <w:rsid w:val="00987D80"/>
    <w:rsid w:val="00991A44"/>
    <w:rsid w:val="00992079"/>
    <w:rsid w:val="009931BB"/>
    <w:rsid w:val="009957E2"/>
    <w:rsid w:val="00997BDA"/>
    <w:rsid w:val="009A02AF"/>
    <w:rsid w:val="009A0E9C"/>
    <w:rsid w:val="009A2DD1"/>
    <w:rsid w:val="009A6C0F"/>
    <w:rsid w:val="009B04A6"/>
    <w:rsid w:val="009B067B"/>
    <w:rsid w:val="009B3934"/>
    <w:rsid w:val="009B5608"/>
    <w:rsid w:val="009B58D5"/>
    <w:rsid w:val="009B593F"/>
    <w:rsid w:val="009B682A"/>
    <w:rsid w:val="009B76A0"/>
    <w:rsid w:val="009B7EC5"/>
    <w:rsid w:val="009C052A"/>
    <w:rsid w:val="009C0BC1"/>
    <w:rsid w:val="009C14F9"/>
    <w:rsid w:val="009C4B89"/>
    <w:rsid w:val="009C56EE"/>
    <w:rsid w:val="009C5B07"/>
    <w:rsid w:val="009C69E9"/>
    <w:rsid w:val="009C6A3F"/>
    <w:rsid w:val="009C6CE4"/>
    <w:rsid w:val="009C77F9"/>
    <w:rsid w:val="009C785B"/>
    <w:rsid w:val="009D55F1"/>
    <w:rsid w:val="009D56F3"/>
    <w:rsid w:val="009D6D1E"/>
    <w:rsid w:val="009E1393"/>
    <w:rsid w:val="009E38C4"/>
    <w:rsid w:val="009E7130"/>
    <w:rsid w:val="009E73AF"/>
    <w:rsid w:val="009F0A26"/>
    <w:rsid w:val="009F6544"/>
    <w:rsid w:val="009F7875"/>
    <w:rsid w:val="00A00881"/>
    <w:rsid w:val="00A00CDD"/>
    <w:rsid w:val="00A018C6"/>
    <w:rsid w:val="00A023B8"/>
    <w:rsid w:val="00A02ED1"/>
    <w:rsid w:val="00A0311D"/>
    <w:rsid w:val="00A045E6"/>
    <w:rsid w:val="00A0488E"/>
    <w:rsid w:val="00A063B7"/>
    <w:rsid w:val="00A064CA"/>
    <w:rsid w:val="00A11063"/>
    <w:rsid w:val="00A117A6"/>
    <w:rsid w:val="00A1233C"/>
    <w:rsid w:val="00A165B4"/>
    <w:rsid w:val="00A168CB"/>
    <w:rsid w:val="00A20D7B"/>
    <w:rsid w:val="00A21F08"/>
    <w:rsid w:val="00A22AD6"/>
    <w:rsid w:val="00A25309"/>
    <w:rsid w:val="00A25FBA"/>
    <w:rsid w:val="00A26152"/>
    <w:rsid w:val="00A275F1"/>
    <w:rsid w:val="00A300DB"/>
    <w:rsid w:val="00A30CE8"/>
    <w:rsid w:val="00A328FE"/>
    <w:rsid w:val="00A33327"/>
    <w:rsid w:val="00A35631"/>
    <w:rsid w:val="00A40305"/>
    <w:rsid w:val="00A41FC2"/>
    <w:rsid w:val="00A4237C"/>
    <w:rsid w:val="00A42EBE"/>
    <w:rsid w:val="00A43D18"/>
    <w:rsid w:val="00A46396"/>
    <w:rsid w:val="00A47AA5"/>
    <w:rsid w:val="00A5056A"/>
    <w:rsid w:val="00A506BD"/>
    <w:rsid w:val="00A50ECB"/>
    <w:rsid w:val="00A51302"/>
    <w:rsid w:val="00A53031"/>
    <w:rsid w:val="00A55B1C"/>
    <w:rsid w:val="00A64944"/>
    <w:rsid w:val="00A64A24"/>
    <w:rsid w:val="00A64CCF"/>
    <w:rsid w:val="00A67727"/>
    <w:rsid w:val="00A70369"/>
    <w:rsid w:val="00A7149B"/>
    <w:rsid w:val="00A74E0B"/>
    <w:rsid w:val="00A81B9F"/>
    <w:rsid w:val="00A823F6"/>
    <w:rsid w:val="00A82A9D"/>
    <w:rsid w:val="00A82B3F"/>
    <w:rsid w:val="00A82FB7"/>
    <w:rsid w:val="00A83DF4"/>
    <w:rsid w:val="00A851F8"/>
    <w:rsid w:val="00A8685F"/>
    <w:rsid w:val="00A87793"/>
    <w:rsid w:val="00AA007A"/>
    <w:rsid w:val="00AA01E0"/>
    <w:rsid w:val="00AA0E57"/>
    <w:rsid w:val="00AA1998"/>
    <w:rsid w:val="00AA1A77"/>
    <w:rsid w:val="00AA26C6"/>
    <w:rsid w:val="00AA3C82"/>
    <w:rsid w:val="00AA3F7B"/>
    <w:rsid w:val="00AA51EB"/>
    <w:rsid w:val="00AA5913"/>
    <w:rsid w:val="00AA5C81"/>
    <w:rsid w:val="00AA5F6C"/>
    <w:rsid w:val="00AA7EA7"/>
    <w:rsid w:val="00AB04A1"/>
    <w:rsid w:val="00AB192F"/>
    <w:rsid w:val="00AB213E"/>
    <w:rsid w:val="00AB3362"/>
    <w:rsid w:val="00AB429B"/>
    <w:rsid w:val="00AB757E"/>
    <w:rsid w:val="00AC072A"/>
    <w:rsid w:val="00AC164F"/>
    <w:rsid w:val="00AC17EA"/>
    <w:rsid w:val="00AC3AF7"/>
    <w:rsid w:val="00AC44A5"/>
    <w:rsid w:val="00AC4EC5"/>
    <w:rsid w:val="00AC5A6F"/>
    <w:rsid w:val="00AC628C"/>
    <w:rsid w:val="00AC6764"/>
    <w:rsid w:val="00AC7193"/>
    <w:rsid w:val="00AC777B"/>
    <w:rsid w:val="00AD1AF7"/>
    <w:rsid w:val="00AD1ED4"/>
    <w:rsid w:val="00AD221B"/>
    <w:rsid w:val="00AD38AB"/>
    <w:rsid w:val="00AD646C"/>
    <w:rsid w:val="00AD65E8"/>
    <w:rsid w:val="00AD690C"/>
    <w:rsid w:val="00AD6B8A"/>
    <w:rsid w:val="00AD7C72"/>
    <w:rsid w:val="00AE0AF1"/>
    <w:rsid w:val="00AE2A8A"/>
    <w:rsid w:val="00AE2B68"/>
    <w:rsid w:val="00AE2C80"/>
    <w:rsid w:val="00AE4794"/>
    <w:rsid w:val="00AE528F"/>
    <w:rsid w:val="00AF0AF4"/>
    <w:rsid w:val="00AF0E0C"/>
    <w:rsid w:val="00AF102E"/>
    <w:rsid w:val="00AF1051"/>
    <w:rsid w:val="00AF1109"/>
    <w:rsid w:val="00AF14F8"/>
    <w:rsid w:val="00AF2324"/>
    <w:rsid w:val="00AF2EFD"/>
    <w:rsid w:val="00AF5DD7"/>
    <w:rsid w:val="00AF72D8"/>
    <w:rsid w:val="00B00998"/>
    <w:rsid w:val="00B02A90"/>
    <w:rsid w:val="00B032DD"/>
    <w:rsid w:val="00B0730D"/>
    <w:rsid w:val="00B10A7C"/>
    <w:rsid w:val="00B146A0"/>
    <w:rsid w:val="00B1667A"/>
    <w:rsid w:val="00B1684B"/>
    <w:rsid w:val="00B16ACD"/>
    <w:rsid w:val="00B21798"/>
    <w:rsid w:val="00B21DAB"/>
    <w:rsid w:val="00B2449C"/>
    <w:rsid w:val="00B25427"/>
    <w:rsid w:val="00B275A0"/>
    <w:rsid w:val="00B30374"/>
    <w:rsid w:val="00B3269E"/>
    <w:rsid w:val="00B334A1"/>
    <w:rsid w:val="00B33D4A"/>
    <w:rsid w:val="00B37267"/>
    <w:rsid w:val="00B3748F"/>
    <w:rsid w:val="00B37CA7"/>
    <w:rsid w:val="00B4218B"/>
    <w:rsid w:val="00B43082"/>
    <w:rsid w:val="00B437DE"/>
    <w:rsid w:val="00B448F3"/>
    <w:rsid w:val="00B46334"/>
    <w:rsid w:val="00B47348"/>
    <w:rsid w:val="00B52193"/>
    <w:rsid w:val="00B529E3"/>
    <w:rsid w:val="00B52C9D"/>
    <w:rsid w:val="00B56D4C"/>
    <w:rsid w:val="00B573ED"/>
    <w:rsid w:val="00B57F91"/>
    <w:rsid w:val="00B62315"/>
    <w:rsid w:val="00B62C02"/>
    <w:rsid w:val="00B63368"/>
    <w:rsid w:val="00B6480E"/>
    <w:rsid w:val="00B65B5B"/>
    <w:rsid w:val="00B66108"/>
    <w:rsid w:val="00B67C73"/>
    <w:rsid w:val="00B71AF2"/>
    <w:rsid w:val="00B728CF"/>
    <w:rsid w:val="00B7308F"/>
    <w:rsid w:val="00B730C0"/>
    <w:rsid w:val="00B739C3"/>
    <w:rsid w:val="00B80704"/>
    <w:rsid w:val="00B80870"/>
    <w:rsid w:val="00B81766"/>
    <w:rsid w:val="00B81FA8"/>
    <w:rsid w:val="00B83D9B"/>
    <w:rsid w:val="00B84BAE"/>
    <w:rsid w:val="00B8518E"/>
    <w:rsid w:val="00B872D7"/>
    <w:rsid w:val="00B9087F"/>
    <w:rsid w:val="00B931C3"/>
    <w:rsid w:val="00B9549A"/>
    <w:rsid w:val="00B96522"/>
    <w:rsid w:val="00BA02B5"/>
    <w:rsid w:val="00BA0E4F"/>
    <w:rsid w:val="00BA25A5"/>
    <w:rsid w:val="00BA4719"/>
    <w:rsid w:val="00BA493C"/>
    <w:rsid w:val="00BA5D37"/>
    <w:rsid w:val="00BA7AE6"/>
    <w:rsid w:val="00BB27F1"/>
    <w:rsid w:val="00BB2F12"/>
    <w:rsid w:val="00BB4C01"/>
    <w:rsid w:val="00BB4E7C"/>
    <w:rsid w:val="00BC1BBD"/>
    <w:rsid w:val="00BC2292"/>
    <w:rsid w:val="00BC3765"/>
    <w:rsid w:val="00BD1FC0"/>
    <w:rsid w:val="00BD2295"/>
    <w:rsid w:val="00BD2785"/>
    <w:rsid w:val="00BD3312"/>
    <w:rsid w:val="00BD3974"/>
    <w:rsid w:val="00BD3F9D"/>
    <w:rsid w:val="00BD4D44"/>
    <w:rsid w:val="00BD6718"/>
    <w:rsid w:val="00BE5707"/>
    <w:rsid w:val="00BE5772"/>
    <w:rsid w:val="00BE7C11"/>
    <w:rsid w:val="00BF0548"/>
    <w:rsid w:val="00BF085E"/>
    <w:rsid w:val="00BF1DAA"/>
    <w:rsid w:val="00BF2EAB"/>
    <w:rsid w:val="00BF3333"/>
    <w:rsid w:val="00BF5B99"/>
    <w:rsid w:val="00BF6707"/>
    <w:rsid w:val="00BF73B0"/>
    <w:rsid w:val="00C00493"/>
    <w:rsid w:val="00C01141"/>
    <w:rsid w:val="00C01BFC"/>
    <w:rsid w:val="00C02E52"/>
    <w:rsid w:val="00C05871"/>
    <w:rsid w:val="00C07A41"/>
    <w:rsid w:val="00C07FC1"/>
    <w:rsid w:val="00C10404"/>
    <w:rsid w:val="00C12D11"/>
    <w:rsid w:val="00C14715"/>
    <w:rsid w:val="00C15065"/>
    <w:rsid w:val="00C15726"/>
    <w:rsid w:val="00C1606F"/>
    <w:rsid w:val="00C16B9C"/>
    <w:rsid w:val="00C21FCA"/>
    <w:rsid w:val="00C228F1"/>
    <w:rsid w:val="00C25D64"/>
    <w:rsid w:val="00C30A75"/>
    <w:rsid w:val="00C3410B"/>
    <w:rsid w:val="00C34AB6"/>
    <w:rsid w:val="00C35B23"/>
    <w:rsid w:val="00C43B0F"/>
    <w:rsid w:val="00C44101"/>
    <w:rsid w:val="00C441B4"/>
    <w:rsid w:val="00C4468A"/>
    <w:rsid w:val="00C4698C"/>
    <w:rsid w:val="00C472B9"/>
    <w:rsid w:val="00C47747"/>
    <w:rsid w:val="00C52145"/>
    <w:rsid w:val="00C54ED0"/>
    <w:rsid w:val="00C554D5"/>
    <w:rsid w:val="00C602E4"/>
    <w:rsid w:val="00C606EC"/>
    <w:rsid w:val="00C61338"/>
    <w:rsid w:val="00C61821"/>
    <w:rsid w:val="00C634F4"/>
    <w:rsid w:val="00C63828"/>
    <w:rsid w:val="00C646FB"/>
    <w:rsid w:val="00C6593A"/>
    <w:rsid w:val="00C65D53"/>
    <w:rsid w:val="00C66474"/>
    <w:rsid w:val="00C66D8C"/>
    <w:rsid w:val="00C71D42"/>
    <w:rsid w:val="00C71F46"/>
    <w:rsid w:val="00C729F4"/>
    <w:rsid w:val="00C73A32"/>
    <w:rsid w:val="00C758AC"/>
    <w:rsid w:val="00C75E1C"/>
    <w:rsid w:val="00C777D3"/>
    <w:rsid w:val="00C8135C"/>
    <w:rsid w:val="00C8261C"/>
    <w:rsid w:val="00C82847"/>
    <w:rsid w:val="00C87575"/>
    <w:rsid w:val="00C91410"/>
    <w:rsid w:val="00C92EBD"/>
    <w:rsid w:val="00C93C53"/>
    <w:rsid w:val="00CA1081"/>
    <w:rsid w:val="00CA29C1"/>
    <w:rsid w:val="00CA3655"/>
    <w:rsid w:val="00CA3700"/>
    <w:rsid w:val="00CA3B56"/>
    <w:rsid w:val="00CA4D37"/>
    <w:rsid w:val="00CA4DD0"/>
    <w:rsid w:val="00CA53B7"/>
    <w:rsid w:val="00CB1508"/>
    <w:rsid w:val="00CB2643"/>
    <w:rsid w:val="00CB379D"/>
    <w:rsid w:val="00CB6197"/>
    <w:rsid w:val="00CB67FA"/>
    <w:rsid w:val="00CB72AA"/>
    <w:rsid w:val="00CB7312"/>
    <w:rsid w:val="00CB761A"/>
    <w:rsid w:val="00CC6199"/>
    <w:rsid w:val="00CC754A"/>
    <w:rsid w:val="00CC7571"/>
    <w:rsid w:val="00CD088C"/>
    <w:rsid w:val="00CD0CD4"/>
    <w:rsid w:val="00CD1660"/>
    <w:rsid w:val="00CD1E69"/>
    <w:rsid w:val="00CD3648"/>
    <w:rsid w:val="00CD3708"/>
    <w:rsid w:val="00CD6ACF"/>
    <w:rsid w:val="00CE0AD5"/>
    <w:rsid w:val="00CE1623"/>
    <w:rsid w:val="00CE1786"/>
    <w:rsid w:val="00CE3473"/>
    <w:rsid w:val="00CE4BDE"/>
    <w:rsid w:val="00CE5B4E"/>
    <w:rsid w:val="00CE753B"/>
    <w:rsid w:val="00CE75E4"/>
    <w:rsid w:val="00CF1AAF"/>
    <w:rsid w:val="00CF1F55"/>
    <w:rsid w:val="00CF2DB9"/>
    <w:rsid w:val="00CF309F"/>
    <w:rsid w:val="00CF3B0D"/>
    <w:rsid w:val="00CF4654"/>
    <w:rsid w:val="00CF4739"/>
    <w:rsid w:val="00CF52D4"/>
    <w:rsid w:val="00CF62CD"/>
    <w:rsid w:val="00D001D7"/>
    <w:rsid w:val="00D02775"/>
    <w:rsid w:val="00D05A3F"/>
    <w:rsid w:val="00D05DE1"/>
    <w:rsid w:val="00D06E57"/>
    <w:rsid w:val="00D11527"/>
    <w:rsid w:val="00D12FD9"/>
    <w:rsid w:val="00D14F04"/>
    <w:rsid w:val="00D177E5"/>
    <w:rsid w:val="00D212F9"/>
    <w:rsid w:val="00D218BE"/>
    <w:rsid w:val="00D233D3"/>
    <w:rsid w:val="00D23644"/>
    <w:rsid w:val="00D25AF5"/>
    <w:rsid w:val="00D27240"/>
    <w:rsid w:val="00D302C7"/>
    <w:rsid w:val="00D30F57"/>
    <w:rsid w:val="00D30F67"/>
    <w:rsid w:val="00D3651F"/>
    <w:rsid w:val="00D408CC"/>
    <w:rsid w:val="00D43522"/>
    <w:rsid w:val="00D45351"/>
    <w:rsid w:val="00D46028"/>
    <w:rsid w:val="00D46E90"/>
    <w:rsid w:val="00D52798"/>
    <w:rsid w:val="00D5289D"/>
    <w:rsid w:val="00D571F9"/>
    <w:rsid w:val="00D579CD"/>
    <w:rsid w:val="00D626E5"/>
    <w:rsid w:val="00D65A24"/>
    <w:rsid w:val="00D678DA"/>
    <w:rsid w:val="00D70787"/>
    <w:rsid w:val="00D70FC7"/>
    <w:rsid w:val="00D7236B"/>
    <w:rsid w:val="00D72F01"/>
    <w:rsid w:val="00D72F4A"/>
    <w:rsid w:val="00D74B0F"/>
    <w:rsid w:val="00D75106"/>
    <w:rsid w:val="00D77038"/>
    <w:rsid w:val="00D80766"/>
    <w:rsid w:val="00D81D4A"/>
    <w:rsid w:val="00D83529"/>
    <w:rsid w:val="00D83FEB"/>
    <w:rsid w:val="00D84581"/>
    <w:rsid w:val="00D84737"/>
    <w:rsid w:val="00D84BC1"/>
    <w:rsid w:val="00D85C47"/>
    <w:rsid w:val="00D90111"/>
    <w:rsid w:val="00D90A94"/>
    <w:rsid w:val="00D90BC0"/>
    <w:rsid w:val="00D92748"/>
    <w:rsid w:val="00D950D5"/>
    <w:rsid w:val="00D958D6"/>
    <w:rsid w:val="00D95B9E"/>
    <w:rsid w:val="00D95E20"/>
    <w:rsid w:val="00D96838"/>
    <w:rsid w:val="00DA090D"/>
    <w:rsid w:val="00DA1110"/>
    <w:rsid w:val="00DA18B7"/>
    <w:rsid w:val="00DA437A"/>
    <w:rsid w:val="00DA5095"/>
    <w:rsid w:val="00DA5D6F"/>
    <w:rsid w:val="00DA60C6"/>
    <w:rsid w:val="00DA69C2"/>
    <w:rsid w:val="00DA6F09"/>
    <w:rsid w:val="00DA7B2F"/>
    <w:rsid w:val="00DB0080"/>
    <w:rsid w:val="00DB0D15"/>
    <w:rsid w:val="00DB1A84"/>
    <w:rsid w:val="00DB1AA1"/>
    <w:rsid w:val="00DB23D2"/>
    <w:rsid w:val="00DB2A5E"/>
    <w:rsid w:val="00DB3295"/>
    <w:rsid w:val="00DB3B25"/>
    <w:rsid w:val="00DB42B6"/>
    <w:rsid w:val="00DC0191"/>
    <w:rsid w:val="00DC0C20"/>
    <w:rsid w:val="00DC0CE0"/>
    <w:rsid w:val="00DC119D"/>
    <w:rsid w:val="00DC1F86"/>
    <w:rsid w:val="00DC2D03"/>
    <w:rsid w:val="00DC33D2"/>
    <w:rsid w:val="00DC392F"/>
    <w:rsid w:val="00DC40D9"/>
    <w:rsid w:val="00DC4572"/>
    <w:rsid w:val="00DC462E"/>
    <w:rsid w:val="00DD38E5"/>
    <w:rsid w:val="00DD4E6B"/>
    <w:rsid w:val="00DD53A9"/>
    <w:rsid w:val="00DD5F65"/>
    <w:rsid w:val="00DE170F"/>
    <w:rsid w:val="00DE1EDB"/>
    <w:rsid w:val="00DE3033"/>
    <w:rsid w:val="00DE424F"/>
    <w:rsid w:val="00DE6620"/>
    <w:rsid w:val="00DE71D7"/>
    <w:rsid w:val="00DE7842"/>
    <w:rsid w:val="00DE7FE9"/>
    <w:rsid w:val="00DF0405"/>
    <w:rsid w:val="00DF095F"/>
    <w:rsid w:val="00DF1C12"/>
    <w:rsid w:val="00DF4000"/>
    <w:rsid w:val="00DF69BD"/>
    <w:rsid w:val="00DF6F52"/>
    <w:rsid w:val="00E010F2"/>
    <w:rsid w:val="00E0242F"/>
    <w:rsid w:val="00E02BEA"/>
    <w:rsid w:val="00E0334D"/>
    <w:rsid w:val="00E04C5B"/>
    <w:rsid w:val="00E05241"/>
    <w:rsid w:val="00E05806"/>
    <w:rsid w:val="00E070B1"/>
    <w:rsid w:val="00E072C9"/>
    <w:rsid w:val="00E11AEB"/>
    <w:rsid w:val="00E12CFD"/>
    <w:rsid w:val="00E132F1"/>
    <w:rsid w:val="00E13384"/>
    <w:rsid w:val="00E170C5"/>
    <w:rsid w:val="00E20085"/>
    <w:rsid w:val="00E2063A"/>
    <w:rsid w:val="00E22B1F"/>
    <w:rsid w:val="00E23AAB"/>
    <w:rsid w:val="00E265D6"/>
    <w:rsid w:val="00E3023A"/>
    <w:rsid w:val="00E315E9"/>
    <w:rsid w:val="00E316FD"/>
    <w:rsid w:val="00E325C0"/>
    <w:rsid w:val="00E344B4"/>
    <w:rsid w:val="00E344E5"/>
    <w:rsid w:val="00E358E1"/>
    <w:rsid w:val="00E368FD"/>
    <w:rsid w:val="00E37975"/>
    <w:rsid w:val="00E416BF"/>
    <w:rsid w:val="00E42BC2"/>
    <w:rsid w:val="00E4796C"/>
    <w:rsid w:val="00E51318"/>
    <w:rsid w:val="00E54011"/>
    <w:rsid w:val="00E54279"/>
    <w:rsid w:val="00E56B70"/>
    <w:rsid w:val="00E57994"/>
    <w:rsid w:val="00E60CE8"/>
    <w:rsid w:val="00E60FDE"/>
    <w:rsid w:val="00E61F10"/>
    <w:rsid w:val="00E665A4"/>
    <w:rsid w:val="00E6795D"/>
    <w:rsid w:val="00E703CE"/>
    <w:rsid w:val="00E7081C"/>
    <w:rsid w:val="00E7098A"/>
    <w:rsid w:val="00E711FC"/>
    <w:rsid w:val="00E722B7"/>
    <w:rsid w:val="00E73822"/>
    <w:rsid w:val="00E742F5"/>
    <w:rsid w:val="00E74E7F"/>
    <w:rsid w:val="00E758DC"/>
    <w:rsid w:val="00E76C6B"/>
    <w:rsid w:val="00E76F88"/>
    <w:rsid w:val="00E77417"/>
    <w:rsid w:val="00E80E41"/>
    <w:rsid w:val="00E81E0A"/>
    <w:rsid w:val="00E83F3F"/>
    <w:rsid w:val="00E86AC1"/>
    <w:rsid w:val="00E87492"/>
    <w:rsid w:val="00E87E6A"/>
    <w:rsid w:val="00E923E8"/>
    <w:rsid w:val="00E92C2B"/>
    <w:rsid w:val="00E92CA2"/>
    <w:rsid w:val="00E93B50"/>
    <w:rsid w:val="00E952E1"/>
    <w:rsid w:val="00E97746"/>
    <w:rsid w:val="00EA04F4"/>
    <w:rsid w:val="00EA1F50"/>
    <w:rsid w:val="00EA2F06"/>
    <w:rsid w:val="00EA539D"/>
    <w:rsid w:val="00EA6627"/>
    <w:rsid w:val="00EA7AD7"/>
    <w:rsid w:val="00EA7C76"/>
    <w:rsid w:val="00EB04BF"/>
    <w:rsid w:val="00EB2082"/>
    <w:rsid w:val="00EB33F5"/>
    <w:rsid w:val="00EB3876"/>
    <w:rsid w:val="00EB7101"/>
    <w:rsid w:val="00EB7182"/>
    <w:rsid w:val="00EC1597"/>
    <w:rsid w:val="00EC26A4"/>
    <w:rsid w:val="00EC3888"/>
    <w:rsid w:val="00EC70CD"/>
    <w:rsid w:val="00ED1C1A"/>
    <w:rsid w:val="00ED23CA"/>
    <w:rsid w:val="00ED2566"/>
    <w:rsid w:val="00ED4EB9"/>
    <w:rsid w:val="00EE03CC"/>
    <w:rsid w:val="00EE12E0"/>
    <w:rsid w:val="00EE146A"/>
    <w:rsid w:val="00EE3F93"/>
    <w:rsid w:val="00EE4B12"/>
    <w:rsid w:val="00EE5A50"/>
    <w:rsid w:val="00EE5B69"/>
    <w:rsid w:val="00EE66F8"/>
    <w:rsid w:val="00EF2DB7"/>
    <w:rsid w:val="00EF42F1"/>
    <w:rsid w:val="00EF5BEB"/>
    <w:rsid w:val="00EF6084"/>
    <w:rsid w:val="00F01F71"/>
    <w:rsid w:val="00F029AA"/>
    <w:rsid w:val="00F04890"/>
    <w:rsid w:val="00F049DF"/>
    <w:rsid w:val="00F04EEA"/>
    <w:rsid w:val="00F05AAE"/>
    <w:rsid w:val="00F069CD"/>
    <w:rsid w:val="00F109F0"/>
    <w:rsid w:val="00F12ABC"/>
    <w:rsid w:val="00F13C98"/>
    <w:rsid w:val="00F17F3E"/>
    <w:rsid w:val="00F2000E"/>
    <w:rsid w:val="00F2028A"/>
    <w:rsid w:val="00F24044"/>
    <w:rsid w:val="00F24410"/>
    <w:rsid w:val="00F25772"/>
    <w:rsid w:val="00F30CB9"/>
    <w:rsid w:val="00F314E8"/>
    <w:rsid w:val="00F3168A"/>
    <w:rsid w:val="00F337C8"/>
    <w:rsid w:val="00F33C0D"/>
    <w:rsid w:val="00F34D9B"/>
    <w:rsid w:val="00F35660"/>
    <w:rsid w:val="00F35D0F"/>
    <w:rsid w:val="00F40983"/>
    <w:rsid w:val="00F41225"/>
    <w:rsid w:val="00F419B3"/>
    <w:rsid w:val="00F43312"/>
    <w:rsid w:val="00F4365D"/>
    <w:rsid w:val="00F473F5"/>
    <w:rsid w:val="00F512A2"/>
    <w:rsid w:val="00F52A5F"/>
    <w:rsid w:val="00F538DB"/>
    <w:rsid w:val="00F612F9"/>
    <w:rsid w:val="00F6161C"/>
    <w:rsid w:val="00F62487"/>
    <w:rsid w:val="00F632EB"/>
    <w:rsid w:val="00F644E5"/>
    <w:rsid w:val="00F64E51"/>
    <w:rsid w:val="00F658B6"/>
    <w:rsid w:val="00F70179"/>
    <w:rsid w:val="00F71274"/>
    <w:rsid w:val="00F740D8"/>
    <w:rsid w:val="00F74223"/>
    <w:rsid w:val="00F75D7D"/>
    <w:rsid w:val="00F7724D"/>
    <w:rsid w:val="00F77998"/>
    <w:rsid w:val="00F806AD"/>
    <w:rsid w:val="00F838DF"/>
    <w:rsid w:val="00F8499B"/>
    <w:rsid w:val="00F86412"/>
    <w:rsid w:val="00F91022"/>
    <w:rsid w:val="00F91DD6"/>
    <w:rsid w:val="00F92020"/>
    <w:rsid w:val="00F9206D"/>
    <w:rsid w:val="00F92505"/>
    <w:rsid w:val="00F941E3"/>
    <w:rsid w:val="00F95564"/>
    <w:rsid w:val="00F96A04"/>
    <w:rsid w:val="00F97D5F"/>
    <w:rsid w:val="00FA0D98"/>
    <w:rsid w:val="00FA2199"/>
    <w:rsid w:val="00FA312F"/>
    <w:rsid w:val="00FA3805"/>
    <w:rsid w:val="00FA650B"/>
    <w:rsid w:val="00FA7597"/>
    <w:rsid w:val="00FB0072"/>
    <w:rsid w:val="00FB46DA"/>
    <w:rsid w:val="00FB5D40"/>
    <w:rsid w:val="00FB7AE0"/>
    <w:rsid w:val="00FC0EBB"/>
    <w:rsid w:val="00FC2276"/>
    <w:rsid w:val="00FC32CA"/>
    <w:rsid w:val="00FC3453"/>
    <w:rsid w:val="00FC6582"/>
    <w:rsid w:val="00FC7AB7"/>
    <w:rsid w:val="00FD2607"/>
    <w:rsid w:val="00FD498D"/>
    <w:rsid w:val="00FD5964"/>
    <w:rsid w:val="00FD5D5E"/>
    <w:rsid w:val="00FD5DDD"/>
    <w:rsid w:val="00FE14EE"/>
    <w:rsid w:val="00FE191A"/>
    <w:rsid w:val="00FE3979"/>
    <w:rsid w:val="00FE46A6"/>
    <w:rsid w:val="00FE533F"/>
    <w:rsid w:val="00FE62EC"/>
    <w:rsid w:val="00FE633C"/>
    <w:rsid w:val="00FE7D73"/>
    <w:rsid w:val="00FF1274"/>
    <w:rsid w:val="00FF60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A481C1"/>
  <w15:docId w15:val="{E95A722B-7D2C-4CD1-9F86-426D154D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link w:val="HeaderChar"/>
    <w:uiPriority w:val="99"/>
    <w:rsid w:val="001A2A47"/>
    <w:pPr>
      <w:tabs>
        <w:tab w:val="center" w:pos="4153"/>
        <w:tab w:val="right" w:pos="8306"/>
      </w:tabs>
    </w:pPr>
  </w:style>
  <w:style w:type="paragraph" w:styleId="Footer">
    <w:name w:val="footer"/>
    <w:basedOn w:val="Normal"/>
    <w:link w:val="FooterChar"/>
    <w:uiPriority w:val="99"/>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uiPriority w:val="99"/>
    <w:rsid w:val="00F4365D"/>
    <w:rPr>
      <w:sz w:val="16"/>
      <w:szCs w:val="16"/>
    </w:rPr>
  </w:style>
  <w:style w:type="paragraph" w:styleId="CommentText">
    <w:name w:val="annotation text"/>
    <w:basedOn w:val="Normal"/>
    <w:link w:val="CommentTextChar"/>
    <w:uiPriority w:val="99"/>
    <w:rsid w:val="00F4365D"/>
    <w:pPr>
      <w:spacing w:line="442" w:lineRule="atLeast"/>
    </w:pPr>
    <w:rPr>
      <w:sz w:val="24"/>
      <w:szCs w:val="22"/>
      <w:lang w:val="de-DE" w:eastAsia="de-DE"/>
    </w:rPr>
  </w:style>
  <w:style w:type="character" w:customStyle="1" w:styleId="CommentTextChar">
    <w:name w:val="Comment Text Char"/>
    <w:basedOn w:val="DefaultParagraphFont"/>
    <w:link w:val="CommentText"/>
    <w:uiPriority w:val="99"/>
    <w:rsid w:val="00F4365D"/>
    <w:rPr>
      <w:rFonts w:ascii="Bosch Office Sans" w:hAnsi="Bosch Office Sans"/>
      <w:sz w:val="24"/>
      <w:szCs w:val="22"/>
    </w:rPr>
  </w:style>
  <w:style w:type="paragraph" w:customStyle="1" w:styleId="Default">
    <w:name w:val="Default"/>
    <w:link w:val="DefaultZchn"/>
    <w:rsid w:val="00AE528F"/>
    <w:pPr>
      <w:autoSpaceDE w:val="0"/>
      <w:autoSpaceDN w:val="0"/>
      <w:adjustRightInd w:val="0"/>
    </w:pPr>
    <w:rPr>
      <w:rFonts w:ascii="Bosch Office Sans" w:hAnsi="Bosch Office Sans" w:cs="Bosch Office Sans"/>
      <w:color w:val="000000"/>
      <w:sz w:val="24"/>
      <w:szCs w:val="24"/>
    </w:rPr>
  </w:style>
  <w:style w:type="paragraph" w:styleId="CommentSubject">
    <w:name w:val="annotation subject"/>
    <w:basedOn w:val="CommentText"/>
    <w:next w:val="CommentText"/>
    <w:link w:val="CommentSubjectChar"/>
    <w:semiHidden/>
    <w:unhideWhenUsed/>
    <w:rsid w:val="00852E6A"/>
    <w:pPr>
      <w:spacing w:line="240" w:lineRule="auto"/>
    </w:pPr>
    <w:rPr>
      <w:b/>
      <w:bCs/>
      <w:sz w:val="20"/>
      <w:szCs w:val="20"/>
      <w:lang w:val="en-US" w:eastAsia="en-US"/>
    </w:rPr>
  </w:style>
  <w:style w:type="character" w:customStyle="1" w:styleId="CommentSubjectChar">
    <w:name w:val="Comment Subject Char"/>
    <w:basedOn w:val="CommentTextChar"/>
    <w:link w:val="CommentSubject"/>
    <w:semiHidden/>
    <w:rsid w:val="00852E6A"/>
    <w:rPr>
      <w:rFonts w:ascii="Bosch Office Sans" w:hAnsi="Bosch Office Sans"/>
      <w:b/>
      <w:bCs/>
      <w:sz w:val="24"/>
      <w:szCs w:val="22"/>
      <w:lang w:val="en-US" w:eastAsia="en-US"/>
    </w:rPr>
  </w:style>
  <w:style w:type="paragraph" w:styleId="ListParagraph">
    <w:name w:val="List Paragraph"/>
    <w:basedOn w:val="Normal"/>
    <w:link w:val="ListParagraphChar"/>
    <w:uiPriority w:val="34"/>
    <w:qFormat/>
    <w:rsid w:val="00DC33D2"/>
    <w:pPr>
      <w:spacing w:line="240" w:lineRule="auto"/>
      <w:ind w:left="720"/>
      <w:contextualSpacing/>
    </w:pPr>
    <w:rPr>
      <w:rFonts w:ascii="Times New Roman" w:hAnsi="Times New Roman"/>
      <w:sz w:val="24"/>
      <w:szCs w:val="24"/>
      <w:lang w:val="de-DE" w:eastAsia="de-DE"/>
    </w:rPr>
  </w:style>
  <w:style w:type="paragraph" w:styleId="Revision">
    <w:name w:val="Revision"/>
    <w:hidden/>
    <w:uiPriority w:val="99"/>
    <w:semiHidden/>
    <w:rsid w:val="00E358E1"/>
    <w:rPr>
      <w:rFonts w:ascii="Bosch Office Sans" w:hAnsi="Bosch Office Sans"/>
      <w:sz w:val="21"/>
      <w:szCs w:val="21"/>
      <w:lang w:val="en-US" w:eastAsia="en-US"/>
    </w:rPr>
  </w:style>
  <w:style w:type="character" w:customStyle="1" w:styleId="ListParagraphChar">
    <w:name w:val="List Paragraph Char"/>
    <w:basedOn w:val="DefaultParagraphFont"/>
    <w:link w:val="ListParagraph"/>
    <w:uiPriority w:val="34"/>
    <w:locked/>
    <w:rsid w:val="00AA1998"/>
    <w:rPr>
      <w:sz w:val="24"/>
      <w:szCs w:val="24"/>
    </w:rPr>
  </w:style>
  <w:style w:type="paragraph" w:styleId="FootnoteText">
    <w:name w:val="footnote text"/>
    <w:basedOn w:val="Normal"/>
    <w:link w:val="FootnoteTextChar"/>
    <w:semiHidden/>
    <w:unhideWhenUsed/>
    <w:rsid w:val="00B65B5B"/>
    <w:pPr>
      <w:spacing w:line="240" w:lineRule="auto"/>
    </w:pPr>
    <w:rPr>
      <w:sz w:val="20"/>
      <w:szCs w:val="20"/>
    </w:rPr>
  </w:style>
  <w:style w:type="character" w:customStyle="1" w:styleId="FootnoteTextChar">
    <w:name w:val="Footnote Text Char"/>
    <w:basedOn w:val="DefaultParagraphFont"/>
    <w:link w:val="FootnoteText"/>
    <w:semiHidden/>
    <w:rsid w:val="00B65B5B"/>
    <w:rPr>
      <w:rFonts w:ascii="Bosch Office Sans" w:hAnsi="Bosch Office Sans"/>
      <w:lang w:val="en-US" w:eastAsia="en-US"/>
    </w:rPr>
  </w:style>
  <w:style w:type="character" w:styleId="FootnoteReference">
    <w:name w:val="footnote reference"/>
    <w:basedOn w:val="DefaultParagraphFont"/>
    <w:semiHidden/>
    <w:unhideWhenUsed/>
    <w:rsid w:val="00B65B5B"/>
    <w:rPr>
      <w:vertAlign w:val="superscript"/>
    </w:rPr>
  </w:style>
  <w:style w:type="paragraph" w:styleId="EndnoteText">
    <w:name w:val="endnote text"/>
    <w:basedOn w:val="Normal"/>
    <w:link w:val="EndnoteTextChar"/>
    <w:semiHidden/>
    <w:unhideWhenUsed/>
    <w:rsid w:val="00B65B5B"/>
    <w:pPr>
      <w:spacing w:line="240" w:lineRule="auto"/>
    </w:pPr>
    <w:rPr>
      <w:sz w:val="20"/>
      <w:szCs w:val="20"/>
    </w:rPr>
  </w:style>
  <w:style w:type="character" w:customStyle="1" w:styleId="EndnoteTextChar">
    <w:name w:val="Endnote Text Char"/>
    <w:basedOn w:val="DefaultParagraphFont"/>
    <w:link w:val="EndnoteText"/>
    <w:semiHidden/>
    <w:rsid w:val="00B65B5B"/>
    <w:rPr>
      <w:rFonts w:ascii="Bosch Office Sans" w:hAnsi="Bosch Office Sans"/>
      <w:lang w:val="en-US" w:eastAsia="en-US"/>
    </w:rPr>
  </w:style>
  <w:style w:type="character" w:styleId="EndnoteReference">
    <w:name w:val="endnote reference"/>
    <w:basedOn w:val="DefaultParagraphFont"/>
    <w:semiHidden/>
    <w:unhideWhenUsed/>
    <w:rsid w:val="00B65B5B"/>
    <w:rPr>
      <w:vertAlign w:val="superscript"/>
    </w:rPr>
  </w:style>
  <w:style w:type="character" w:customStyle="1" w:styleId="DefaultZchn">
    <w:name w:val="Default Zchn"/>
    <w:basedOn w:val="DefaultParagraphFont"/>
    <w:link w:val="Default"/>
    <w:locked/>
    <w:rsid w:val="001B0855"/>
    <w:rPr>
      <w:rFonts w:ascii="Bosch Office Sans" w:hAnsi="Bosch Office Sans" w:cs="Bosch Office Sans"/>
      <w:color w:val="000000"/>
      <w:sz w:val="24"/>
      <w:szCs w:val="24"/>
    </w:rPr>
  </w:style>
  <w:style w:type="character" w:customStyle="1" w:styleId="text-light">
    <w:name w:val="text-light"/>
    <w:basedOn w:val="DefaultParagraphFont"/>
    <w:rsid w:val="004841D0"/>
  </w:style>
  <w:style w:type="character" w:customStyle="1" w:styleId="block">
    <w:name w:val="block"/>
    <w:basedOn w:val="DefaultParagraphFont"/>
    <w:rsid w:val="00F6161C"/>
  </w:style>
  <w:style w:type="character" w:customStyle="1" w:styleId="css-901oao">
    <w:name w:val="css-901oao"/>
    <w:basedOn w:val="DefaultParagraphFont"/>
    <w:rsid w:val="00252A58"/>
  </w:style>
  <w:style w:type="character" w:styleId="UnresolvedMention">
    <w:name w:val="Unresolved Mention"/>
    <w:basedOn w:val="DefaultParagraphFont"/>
    <w:uiPriority w:val="99"/>
    <w:semiHidden/>
    <w:unhideWhenUsed/>
    <w:rsid w:val="00E2063A"/>
    <w:rPr>
      <w:color w:val="605E5C"/>
      <w:shd w:val="clear" w:color="auto" w:fill="E1DFDD"/>
    </w:rPr>
  </w:style>
  <w:style w:type="character" w:customStyle="1" w:styleId="FooterChar">
    <w:name w:val="Footer Char"/>
    <w:basedOn w:val="DefaultParagraphFont"/>
    <w:link w:val="Footer"/>
    <w:uiPriority w:val="99"/>
    <w:rsid w:val="00C25D64"/>
    <w:rPr>
      <w:rFonts w:ascii="Bosch Office Sans" w:hAnsi="Bosch Office Sans"/>
      <w:sz w:val="21"/>
      <w:szCs w:val="21"/>
      <w:lang w:val="en-US" w:eastAsia="en-US"/>
    </w:rPr>
  </w:style>
  <w:style w:type="character" w:customStyle="1" w:styleId="normaltextrun">
    <w:name w:val="normaltextrun"/>
    <w:basedOn w:val="DefaultParagraphFont"/>
    <w:rsid w:val="00C25D64"/>
  </w:style>
  <w:style w:type="character" w:customStyle="1" w:styleId="eop">
    <w:name w:val="eop"/>
    <w:basedOn w:val="DefaultParagraphFont"/>
    <w:rsid w:val="00C25D64"/>
  </w:style>
  <w:style w:type="paragraph" w:customStyle="1" w:styleId="paragraph">
    <w:name w:val="paragraph"/>
    <w:basedOn w:val="Normal"/>
    <w:rsid w:val="00C25D64"/>
    <w:pPr>
      <w:spacing w:before="100" w:beforeAutospacing="1" w:after="100" w:afterAutospacing="1" w:line="240" w:lineRule="auto"/>
    </w:pPr>
    <w:rPr>
      <w:rFonts w:ascii="Times New Roman" w:hAnsi="Times New Roman"/>
      <w:sz w:val="24"/>
      <w:szCs w:val="24"/>
    </w:rPr>
  </w:style>
  <w:style w:type="character" w:customStyle="1" w:styleId="HeaderChar">
    <w:name w:val="Header Char"/>
    <w:basedOn w:val="DefaultParagraphFont"/>
    <w:link w:val="Header"/>
    <w:uiPriority w:val="99"/>
    <w:rsid w:val="0090380D"/>
    <w:rPr>
      <w:rFonts w:ascii="Bosch Office Sans" w:hAnsi="Bosch Office San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3169">
      <w:bodyDiv w:val="1"/>
      <w:marLeft w:val="0"/>
      <w:marRight w:val="0"/>
      <w:marTop w:val="0"/>
      <w:marBottom w:val="0"/>
      <w:divBdr>
        <w:top w:val="none" w:sz="0" w:space="0" w:color="auto"/>
        <w:left w:val="none" w:sz="0" w:space="0" w:color="auto"/>
        <w:bottom w:val="none" w:sz="0" w:space="0" w:color="auto"/>
        <w:right w:val="none" w:sz="0" w:space="0" w:color="auto"/>
      </w:divBdr>
    </w:div>
    <w:div w:id="17586982">
      <w:bodyDiv w:val="1"/>
      <w:marLeft w:val="0"/>
      <w:marRight w:val="0"/>
      <w:marTop w:val="0"/>
      <w:marBottom w:val="0"/>
      <w:divBdr>
        <w:top w:val="none" w:sz="0" w:space="0" w:color="auto"/>
        <w:left w:val="none" w:sz="0" w:space="0" w:color="auto"/>
        <w:bottom w:val="none" w:sz="0" w:space="0" w:color="auto"/>
        <w:right w:val="none" w:sz="0" w:space="0" w:color="auto"/>
      </w:divBdr>
    </w:div>
    <w:div w:id="53353126">
      <w:bodyDiv w:val="1"/>
      <w:marLeft w:val="0"/>
      <w:marRight w:val="0"/>
      <w:marTop w:val="0"/>
      <w:marBottom w:val="0"/>
      <w:divBdr>
        <w:top w:val="none" w:sz="0" w:space="0" w:color="auto"/>
        <w:left w:val="none" w:sz="0" w:space="0" w:color="auto"/>
        <w:bottom w:val="none" w:sz="0" w:space="0" w:color="auto"/>
        <w:right w:val="none" w:sz="0" w:space="0" w:color="auto"/>
      </w:divBdr>
    </w:div>
    <w:div w:id="72894135">
      <w:bodyDiv w:val="1"/>
      <w:marLeft w:val="0"/>
      <w:marRight w:val="0"/>
      <w:marTop w:val="0"/>
      <w:marBottom w:val="0"/>
      <w:divBdr>
        <w:top w:val="none" w:sz="0" w:space="0" w:color="auto"/>
        <w:left w:val="none" w:sz="0" w:space="0" w:color="auto"/>
        <w:bottom w:val="none" w:sz="0" w:space="0" w:color="auto"/>
        <w:right w:val="none" w:sz="0" w:space="0" w:color="auto"/>
      </w:divBdr>
    </w:div>
    <w:div w:id="84503043">
      <w:bodyDiv w:val="1"/>
      <w:marLeft w:val="0"/>
      <w:marRight w:val="0"/>
      <w:marTop w:val="0"/>
      <w:marBottom w:val="0"/>
      <w:divBdr>
        <w:top w:val="none" w:sz="0" w:space="0" w:color="auto"/>
        <w:left w:val="none" w:sz="0" w:space="0" w:color="auto"/>
        <w:bottom w:val="none" w:sz="0" w:space="0" w:color="auto"/>
        <w:right w:val="none" w:sz="0" w:space="0" w:color="auto"/>
      </w:divBdr>
      <w:divsChild>
        <w:div w:id="569267736">
          <w:marLeft w:val="274"/>
          <w:marRight w:val="0"/>
          <w:marTop w:val="0"/>
          <w:marBottom w:val="0"/>
          <w:divBdr>
            <w:top w:val="none" w:sz="0" w:space="0" w:color="auto"/>
            <w:left w:val="none" w:sz="0" w:space="0" w:color="auto"/>
            <w:bottom w:val="none" w:sz="0" w:space="0" w:color="auto"/>
            <w:right w:val="none" w:sz="0" w:space="0" w:color="auto"/>
          </w:divBdr>
        </w:div>
        <w:div w:id="1465807224">
          <w:marLeft w:val="274"/>
          <w:marRight w:val="0"/>
          <w:marTop w:val="0"/>
          <w:marBottom w:val="0"/>
          <w:divBdr>
            <w:top w:val="none" w:sz="0" w:space="0" w:color="auto"/>
            <w:left w:val="none" w:sz="0" w:space="0" w:color="auto"/>
            <w:bottom w:val="none" w:sz="0" w:space="0" w:color="auto"/>
            <w:right w:val="none" w:sz="0" w:space="0" w:color="auto"/>
          </w:divBdr>
        </w:div>
      </w:divsChild>
    </w:div>
    <w:div w:id="145242445">
      <w:bodyDiv w:val="1"/>
      <w:marLeft w:val="0"/>
      <w:marRight w:val="0"/>
      <w:marTop w:val="0"/>
      <w:marBottom w:val="0"/>
      <w:divBdr>
        <w:top w:val="none" w:sz="0" w:space="0" w:color="auto"/>
        <w:left w:val="none" w:sz="0" w:space="0" w:color="auto"/>
        <w:bottom w:val="none" w:sz="0" w:space="0" w:color="auto"/>
        <w:right w:val="none" w:sz="0" w:space="0" w:color="auto"/>
      </w:divBdr>
    </w:div>
    <w:div w:id="214969681">
      <w:bodyDiv w:val="1"/>
      <w:marLeft w:val="0"/>
      <w:marRight w:val="0"/>
      <w:marTop w:val="0"/>
      <w:marBottom w:val="0"/>
      <w:divBdr>
        <w:top w:val="none" w:sz="0" w:space="0" w:color="auto"/>
        <w:left w:val="none" w:sz="0" w:space="0" w:color="auto"/>
        <w:bottom w:val="none" w:sz="0" w:space="0" w:color="auto"/>
        <w:right w:val="none" w:sz="0" w:space="0" w:color="auto"/>
      </w:divBdr>
      <w:divsChild>
        <w:div w:id="1962682625">
          <w:marLeft w:val="274"/>
          <w:marRight w:val="0"/>
          <w:marTop w:val="0"/>
          <w:marBottom w:val="0"/>
          <w:divBdr>
            <w:top w:val="none" w:sz="0" w:space="0" w:color="auto"/>
            <w:left w:val="none" w:sz="0" w:space="0" w:color="auto"/>
            <w:bottom w:val="none" w:sz="0" w:space="0" w:color="auto"/>
            <w:right w:val="none" w:sz="0" w:space="0" w:color="auto"/>
          </w:divBdr>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97020815">
      <w:bodyDiv w:val="1"/>
      <w:marLeft w:val="0"/>
      <w:marRight w:val="0"/>
      <w:marTop w:val="0"/>
      <w:marBottom w:val="0"/>
      <w:divBdr>
        <w:top w:val="none" w:sz="0" w:space="0" w:color="auto"/>
        <w:left w:val="none" w:sz="0" w:space="0" w:color="auto"/>
        <w:bottom w:val="none" w:sz="0" w:space="0" w:color="auto"/>
        <w:right w:val="none" w:sz="0" w:space="0" w:color="auto"/>
      </w:divBdr>
    </w:div>
    <w:div w:id="469134365">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716470238">
      <w:bodyDiv w:val="1"/>
      <w:marLeft w:val="0"/>
      <w:marRight w:val="0"/>
      <w:marTop w:val="0"/>
      <w:marBottom w:val="0"/>
      <w:divBdr>
        <w:top w:val="none" w:sz="0" w:space="0" w:color="auto"/>
        <w:left w:val="none" w:sz="0" w:space="0" w:color="auto"/>
        <w:bottom w:val="none" w:sz="0" w:space="0" w:color="auto"/>
        <w:right w:val="none" w:sz="0" w:space="0" w:color="auto"/>
      </w:divBdr>
    </w:div>
    <w:div w:id="744763715">
      <w:bodyDiv w:val="1"/>
      <w:marLeft w:val="0"/>
      <w:marRight w:val="0"/>
      <w:marTop w:val="0"/>
      <w:marBottom w:val="0"/>
      <w:divBdr>
        <w:top w:val="none" w:sz="0" w:space="0" w:color="auto"/>
        <w:left w:val="none" w:sz="0" w:space="0" w:color="auto"/>
        <w:bottom w:val="none" w:sz="0" w:space="0" w:color="auto"/>
        <w:right w:val="none" w:sz="0" w:space="0" w:color="auto"/>
      </w:divBdr>
    </w:div>
    <w:div w:id="763112268">
      <w:bodyDiv w:val="1"/>
      <w:marLeft w:val="0"/>
      <w:marRight w:val="0"/>
      <w:marTop w:val="0"/>
      <w:marBottom w:val="0"/>
      <w:divBdr>
        <w:top w:val="none" w:sz="0" w:space="0" w:color="auto"/>
        <w:left w:val="none" w:sz="0" w:space="0" w:color="auto"/>
        <w:bottom w:val="none" w:sz="0" w:space="0" w:color="auto"/>
        <w:right w:val="none" w:sz="0" w:space="0" w:color="auto"/>
      </w:divBdr>
    </w:div>
    <w:div w:id="801046811">
      <w:bodyDiv w:val="1"/>
      <w:marLeft w:val="0"/>
      <w:marRight w:val="0"/>
      <w:marTop w:val="0"/>
      <w:marBottom w:val="0"/>
      <w:divBdr>
        <w:top w:val="none" w:sz="0" w:space="0" w:color="auto"/>
        <w:left w:val="none" w:sz="0" w:space="0" w:color="auto"/>
        <w:bottom w:val="none" w:sz="0" w:space="0" w:color="auto"/>
        <w:right w:val="none" w:sz="0" w:space="0" w:color="auto"/>
      </w:divBdr>
    </w:div>
    <w:div w:id="814881026">
      <w:bodyDiv w:val="1"/>
      <w:marLeft w:val="0"/>
      <w:marRight w:val="0"/>
      <w:marTop w:val="0"/>
      <w:marBottom w:val="0"/>
      <w:divBdr>
        <w:top w:val="none" w:sz="0" w:space="0" w:color="auto"/>
        <w:left w:val="none" w:sz="0" w:space="0" w:color="auto"/>
        <w:bottom w:val="none" w:sz="0" w:space="0" w:color="auto"/>
        <w:right w:val="none" w:sz="0" w:space="0" w:color="auto"/>
      </w:divBdr>
    </w:div>
    <w:div w:id="83973445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4041615">
      <w:bodyDiv w:val="1"/>
      <w:marLeft w:val="0"/>
      <w:marRight w:val="0"/>
      <w:marTop w:val="0"/>
      <w:marBottom w:val="0"/>
      <w:divBdr>
        <w:top w:val="none" w:sz="0" w:space="0" w:color="auto"/>
        <w:left w:val="none" w:sz="0" w:space="0" w:color="auto"/>
        <w:bottom w:val="none" w:sz="0" w:space="0" w:color="auto"/>
        <w:right w:val="none" w:sz="0" w:space="0" w:color="auto"/>
      </w:divBdr>
    </w:div>
    <w:div w:id="1033992257">
      <w:bodyDiv w:val="1"/>
      <w:marLeft w:val="0"/>
      <w:marRight w:val="0"/>
      <w:marTop w:val="0"/>
      <w:marBottom w:val="0"/>
      <w:divBdr>
        <w:top w:val="none" w:sz="0" w:space="0" w:color="auto"/>
        <w:left w:val="none" w:sz="0" w:space="0" w:color="auto"/>
        <w:bottom w:val="none" w:sz="0" w:space="0" w:color="auto"/>
        <w:right w:val="none" w:sz="0" w:space="0" w:color="auto"/>
      </w:divBdr>
      <w:divsChild>
        <w:div w:id="1344437725">
          <w:marLeft w:val="274"/>
          <w:marRight w:val="0"/>
          <w:marTop w:val="0"/>
          <w:marBottom w:val="0"/>
          <w:divBdr>
            <w:top w:val="none" w:sz="0" w:space="0" w:color="auto"/>
            <w:left w:val="none" w:sz="0" w:space="0" w:color="auto"/>
            <w:bottom w:val="none" w:sz="0" w:space="0" w:color="auto"/>
            <w:right w:val="none" w:sz="0" w:space="0" w:color="auto"/>
          </w:divBdr>
        </w:div>
      </w:divsChild>
    </w:div>
    <w:div w:id="1036926369">
      <w:bodyDiv w:val="1"/>
      <w:marLeft w:val="0"/>
      <w:marRight w:val="0"/>
      <w:marTop w:val="0"/>
      <w:marBottom w:val="0"/>
      <w:divBdr>
        <w:top w:val="none" w:sz="0" w:space="0" w:color="auto"/>
        <w:left w:val="none" w:sz="0" w:space="0" w:color="auto"/>
        <w:bottom w:val="none" w:sz="0" w:space="0" w:color="auto"/>
        <w:right w:val="none" w:sz="0" w:space="0" w:color="auto"/>
      </w:divBdr>
      <w:divsChild>
        <w:div w:id="85342936">
          <w:marLeft w:val="274"/>
          <w:marRight w:val="0"/>
          <w:marTop w:val="0"/>
          <w:marBottom w:val="0"/>
          <w:divBdr>
            <w:top w:val="none" w:sz="0" w:space="0" w:color="auto"/>
            <w:left w:val="none" w:sz="0" w:space="0" w:color="auto"/>
            <w:bottom w:val="none" w:sz="0" w:space="0" w:color="auto"/>
            <w:right w:val="none" w:sz="0" w:space="0" w:color="auto"/>
          </w:divBdr>
        </w:div>
        <w:div w:id="1536113710">
          <w:marLeft w:val="274"/>
          <w:marRight w:val="0"/>
          <w:marTop w:val="0"/>
          <w:marBottom w:val="0"/>
          <w:divBdr>
            <w:top w:val="none" w:sz="0" w:space="0" w:color="auto"/>
            <w:left w:val="none" w:sz="0" w:space="0" w:color="auto"/>
            <w:bottom w:val="none" w:sz="0" w:space="0" w:color="auto"/>
            <w:right w:val="none" w:sz="0" w:space="0" w:color="auto"/>
          </w:divBdr>
        </w:div>
      </w:divsChild>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21415464">
      <w:bodyDiv w:val="1"/>
      <w:marLeft w:val="0"/>
      <w:marRight w:val="0"/>
      <w:marTop w:val="0"/>
      <w:marBottom w:val="0"/>
      <w:divBdr>
        <w:top w:val="none" w:sz="0" w:space="0" w:color="auto"/>
        <w:left w:val="none" w:sz="0" w:space="0" w:color="auto"/>
        <w:bottom w:val="none" w:sz="0" w:space="0" w:color="auto"/>
        <w:right w:val="none" w:sz="0" w:space="0" w:color="auto"/>
      </w:divBdr>
    </w:div>
    <w:div w:id="1130321023">
      <w:bodyDiv w:val="1"/>
      <w:marLeft w:val="0"/>
      <w:marRight w:val="0"/>
      <w:marTop w:val="0"/>
      <w:marBottom w:val="0"/>
      <w:divBdr>
        <w:top w:val="none" w:sz="0" w:space="0" w:color="auto"/>
        <w:left w:val="none" w:sz="0" w:space="0" w:color="auto"/>
        <w:bottom w:val="none" w:sz="0" w:space="0" w:color="auto"/>
        <w:right w:val="none" w:sz="0" w:space="0" w:color="auto"/>
      </w:divBdr>
    </w:div>
    <w:div w:id="1131482617">
      <w:bodyDiv w:val="1"/>
      <w:marLeft w:val="0"/>
      <w:marRight w:val="0"/>
      <w:marTop w:val="0"/>
      <w:marBottom w:val="0"/>
      <w:divBdr>
        <w:top w:val="none" w:sz="0" w:space="0" w:color="auto"/>
        <w:left w:val="none" w:sz="0" w:space="0" w:color="auto"/>
        <w:bottom w:val="none" w:sz="0" w:space="0" w:color="auto"/>
        <w:right w:val="none" w:sz="0" w:space="0" w:color="auto"/>
      </w:divBdr>
    </w:div>
    <w:div w:id="1178890649">
      <w:bodyDiv w:val="1"/>
      <w:marLeft w:val="0"/>
      <w:marRight w:val="0"/>
      <w:marTop w:val="0"/>
      <w:marBottom w:val="0"/>
      <w:divBdr>
        <w:top w:val="none" w:sz="0" w:space="0" w:color="auto"/>
        <w:left w:val="none" w:sz="0" w:space="0" w:color="auto"/>
        <w:bottom w:val="none" w:sz="0" w:space="0" w:color="auto"/>
        <w:right w:val="none" w:sz="0" w:space="0" w:color="auto"/>
      </w:divBdr>
    </w:div>
    <w:div w:id="1237743541">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48754723">
      <w:bodyDiv w:val="1"/>
      <w:marLeft w:val="0"/>
      <w:marRight w:val="0"/>
      <w:marTop w:val="0"/>
      <w:marBottom w:val="0"/>
      <w:divBdr>
        <w:top w:val="none" w:sz="0" w:space="0" w:color="auto"/>
        <w:left w:val="none" w:sz="0" w:space="0" w:color="auto"/>
        <w:bottom w:val="none" w:sz="0" w:space="0" w:color="auto"/>
        <w:right w:val="none" w:sz="0" w:space="0" w:color="auto"/>
      </w:divBdr>
    </w:div>
    <w:div w:id="1610316576">
      <w:bodyDiv w:val="1"/>
      <w:marLeft w:val="0"/>
      <w:marRight w:val="0"/>
      <w:marTop w:val="0"/>
      <w:marBottom w:val="0"/>
      <w:divBdr>
        <w:top w:val="none" w:sz="0" w:space="0" w:color="auto"/>
        <w:left w:val="none" w:sz="0" w:space="0" w:color="auto"/>
        <w:bottom w:val="none" w:sz="0" w:space="0" w:color="auto"/>
        <w:right w:val="none" w:sz="0" w:space="0" w:color="auto"/>
      </w:divBdr>
    </w:div>
    <w:div w:id="1628851740">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698577919">
      <w:bodyDiv w:val="1"/>
      <w:marLeft w:val="0"/>
      <w:marRight w:val="0"/>
      <w:marTop w:val="0"/>
      <w:marBottom w:val="0"/>
      <w:divBdr>
        <w:top w:val="none" w:sz="0" w:space="0" w:color="auto"/>
        <w:left w:val="none" w:sz="0" w:space="0" w:color="auto"/>
        <w:bottom w:val="none" w:sz="0" w:space="0" w:color="auto"/>
        <w:right w:val="none" w:sz="0" w:space="0" w:color="auto"/>
      </w:divBdr>
    </w:div>
    <w:div w:id="1699627217">
      <w:bodyDiv w:val="1"/>
      <w:marLeft w:val="0"/>
      <w:marRight w:val="0"/>
      <w:marTop w:val="0"/>
      <w:marBottom w:val="0"/>
      <w:divBdr>
        <w:top w:val="none" w:sz="0" w:space="0" w:color="auto"/>
        <w:left w:val="none" w:sz="0" w:space="0" w:color="auto"/>
        <w:bottom w:val="none" w:sz="0" w:space="0" w:color="auto"/>
        <w:right w:val="none" w:sz="0" w:space="0" w:color="auto"/>
      </w:divBdr>
    </w:div>
    <w:div w:id="1721585647">
      <w:bodyDiv w:val="1"/>
      <w:marLeft w:val="0"/>
      <w:marRight w:val="0"/>
      <w:marTop w:val="0"/>
      <w:marBottom w:val="0"/>
      <w:divBdr>
        <w:top w:val="none" w:sz="0" w:space="0" w:color="auto"/>
        <w:left w:val="none" w:sz="0" w:space="0" w:color="auto"/>
        <w:bottom w:val="none" w:sz="0" w:space="0" w:color="auto"/>
        <w:right w:val="none" w:sz="0" w:space="0" w:color="auto"/>
      </w:divBdr>
    </w:div>
    <w:div w:id="1731804087">
      <w:bodyDiv w:val="1"/>
      <w:marLeft w:val="0"/>
      <w:marRight w:val="0"/>
      <w:marTop w:val="0"/>
      <w:marBottom w:val="0"/>
      <w:divBdr>
        <w:top w:val="none" w:sz="0" w:space="0" w:color="auto"/>
        <w:left w:val="none" w:sz="0" w:space="0" w:color="auto"/>
        <w:bottom w:val="none" w:sz="0" w:space="0" w:color="auto"/>
        <w:right w:val="none" w:sz="0" w:space="0" w:color="auto"/>
      </w:divBdr>
    </w:div>
    <w:div w:id="1760715107">
      <w:bodyDiv w:val="1"/>
      <w:marLeft w:val="0"/>
      <w:marRight w:val="0"/>
      <w:marTop w:val="0"/>
      <w:marBottom w:val="0"/>
      <w:divBdr>
        <w:top w:val="none" w:sz="0" w:space="0" w:color="auto"/>
        <w:left w:val="none" w:sz="0" w:space="0" w:color="auto"/>
        <w:bottom w:val="none" w:sz="0" w:space="0" w:color="auto"/>
        <w:right w:val="none" w:sz="0" w:space="0" w:color="auto"/>
      </w:divBdr>
    </w:div>
    <w:div w:id="1801149220">
      <w:bodyDiv w:val="1"/>
      <w:marLeft w:val="0"/>
      <w:marRight w:val="0"/>
      <w:marTop w:val="0"/>
      <w:marBottom w:val="0"/>
      <w:divBdr>
        <w:top w:val="none" w:sz="0" w:space="0" w:color="auto"/>
        <w:left w:val="none" w:sz="0" w:space="0" w:color="auto"/>
        <w:bottom w:val="none" w:sz="0" w:space="0" w:color="auto"/>
        <w:right w:val="none" w:sz="0" w:space="0" w:color="auto"/>
      </w:divBdr>
    </w:div>
    <w:div w:id="1843163010">
      <w:bodyDiv w:val="1"/>
      <w:marLeft w:val="0"/>
      <w:marRight w:val="0"/>
      <w:marTop w:val="0"/>
      <w:marBottom w:val="0"/>
      <w:divBdr>
        <w:top w:val="none" w:sz="0" w:space="0" w:color="auto"/>
        <w:left w:val="none" w:sz="0" w:space="0" w:color="auto"/>
        <w:bottom w:val="none" w:sz="0" w:space="0" w:color="auto"/>
        <w:right w:val="none" w:sz="0" w:space="0" w:color="auto"/>
      </w:divBdr>
    </w:div>
    <w:div w:id="1901020715">
      <w:bodyDiv w:val="1"/>
      <w:marLeft w:val="0"/>
      <w:marRight w:val="0"/>
      <w:marTop w:val="0"/>
      <w:marBottom w:val="0"/>
      <w:divBdr>
        <w:top w:val="none" w:sz="0" w:space="0" w:color="auto"/>
        <w:left w:val="none" w:sz="0" w:space="0" w:color="auto"/>
        <w:bottom w:val="none" w:sz="0" w:space="0" w:color="auto"/>
        <w:right w:val="none" w:sz="0" w:space="0" w:color="auto"/>
      </w:divBdr>
    </w:div>
    <w:div w:id="1941982404">
      <w:bodyDiv w:val="1"/>
      <w:marLeft w:val="0"/>
      <w:marRight w:val="0"/>
      <w:marTop w:val="0"/>
      <w:marBottom w:val="0"/>
      <w:divBdr>
        <w:top w:val="none" w:sz="0" w:space="0" w:color="auto"/>
        <w:left w:val="none" w:sz="0" w:space="0" w:color="auto"/>
        <w:bottom w:val="none" w:sz="0" w:space="0" w:color="auto"/>
        <w:right w:val="none" w:sz="0" w:space="0" w:color="auto"/>
      </w:divBdr>
    </w:div>
    <w:div w:id="1972831727">
      <w:bodyDiv w:val="1"/>
      <w:marLeft w:val="0"/>
      <w:marRight w:val="0"/>
      <w:marTop w:val="0"/>
      <w:marBottom w:val="0"/>
      <w:divBdr>
        <w:top w:val="none" w:sz="0" w:space="0" w:color="auto"/>
        <w:left w:val="none" w:sz="0" w:space="0" w:color="auto"/>
        <w:bottom w:val="none" w:sz="0" w:space="0" w:color="auto"/>
        <w:right w:val="none" w:sz="0" w:space="0" w:color="auto"/>
      </w:divBdr>
    </w:div>
    <w:div w:id="199217668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62778135">
      <w:bodyDiv w:val="1"/>
      <w:marLeft w:val="0"/>
      <w:marRight w:val="0"/>
      <w:marTop w:val="0"/>
      <w:marBottom w:val="0"/>
      <w:divBdr>
        <w:top w:val="none" w:sz="0" w:space="0" w:color="auto"/>
        <w:left w:val="none" w:sz="0" w:space="0" w:color="auto"/>
        <w:bottom w:val="none" w:sz="0" w:space="0" w:color="auto"/>
        <w:right w:val="none" w:sz="0" w:space="0" w:color="auto"/>
      </w:divBdr>
    </w:div>
    <w:div w:id="208498922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098403425">
      <w:bodyDiv w:val="1"/>
      <w:marLeft w:val="0"/>
      <w:marRight w:val="0"/>
      <w:marTop w:val="0"/>
      <w:marBottom w:val="0"/>
      <w:divBdr>
        <w:top w:val="none" w:sz="0" w:space="0" w:color="auto"/>
        <w:left w:val="none" w:sz="0" w:space="0" w:color="auto"/>
        <w:bottom w:val="none" w:sz="0" w:space="0" w:color="auto"/>
        <w:right w:val="none" w:sz="0" w:space="0" w:color="auto"/>
      </w:divBdr>
    </w:div>
    <w:div w:id="2122916684">
      <w:bodyDiv w:val="1"/>
      <w:marLeft w:val="0"/>
      <w:marRight w:val="0"/>
      <w:marTop w:val="0"/>
      <w:marBottom w:val="0"/>
      <w:divBdr>
        <w:top w:val="none" w:sz="0" w:space="0" w:color="auto"/>
        <w:left w:val="none" w:sz="0" w:space="0" w:color="auto"/>
        <w:bottom w:val="none" w:sz="0" w:space="0" w:color="auto"/>
        <w:right w:val="none" w:sz="0" w:space="0" w:color="auto"/>
      </w:divBdr>
    </w:div>
    <w:div w:id="2133356016">
      <w:bodyDiv w:val="1"/>
      <w:marLeft w:val="0"/>
      <w:marRight w:val="0"/>
      <w:marTop w:val="0"/>
      <w:marBottom w:val="0"/>
      <w:divBdr>
        <w:top w:val="none" w:sz="0" w:space="0" w:color="auto"/>
        <w:left w:val="none" w:sz="0" w:space="0" w:color="auto"/>
        <w:bottom w:val="none" w:sz="0" w:space="0" w:color="auto"/>
        <w:right w:val="none" w:sz="0" w:space="0" w:color="auto"/>
      </w:divBdr>
    </w:div>
    <w:div w:id="2142922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ch-presse.de/pressportal/de/en/dr-stefan-hartung-43341.html" TargetMode="External"/><Relationship Id="rId13" Type="http://schemas.openxmlformats.org/officeDocument/2006/relationships/hyperlink" Target="https://www.bosch-presse.de/pressportal/de/en/dr-markus-heyn-43340.html" TargetMode="External"/><Relationship Id="rId18" Type="http://schemas.openxmlformats.org/officeDocument/2006/relationships/hyperlink" Target="https://allianz-der-chancen.d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bosch-presse.de/pressportal/de/en/bosch-and-volkswagen-want-to-industrialize-factory-equipment-for-battery-cell-production-237120.html" TargetMode="External"/><Relationship Id="rId17" Type="http://schemas.openxmlformats.org/officeDocument/2006/relationships/hyperlink" Target="https://www.bosch-presse.de/pressportal/de/en/filiz-albrecht-214209.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bosch-presse.de/pressportal/de/en/automated-driving-bosch-and-volkswagen-group-subsidiary-cariad-agree-on-extensive-partnership-237313.html" TargetMode="External"/><Relationship Id="rId20" Type="http://schemas.openxmlformats.org/officeDocument/2006/relationships/hyperlink" Target="mailto:Tim.Wieland@us.bosc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ch-presse.de/pressportal/de/en/bosch-supplies-factory-equipment-for-battery-production-231680.htm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osch-presse.de/pressportal/de/en/bosch-pools-its-software-and-electronics-expertise-in-one-division-with-17000-associates-216256.html" TargetMode="External"/><Relationship Id="rId23" Type="http://schemas.openxmlformats.org/officeDocument/2006/relationships/header" Target="header2.xml"/><Relationship Id="rId10" Type="http://schemas.openxmlformats.org/officeDocument/2006/relationships/hyperlink" Target="https://www.bosch-presse.de/pressportal/de/en/longer-range-as-standard-bosch-gives-go-ahead-for-volume-production-of-silicon-carbide-chips-235722.html" TargetMode="External"/><Relationship Id="rId19" Type="http://schemas.openxmlformats.org/officeDocument/2006/relationships/hyperlink" Target="https://www.bosch-presse.de/pressportal/de/en/dr-markus-forschner-230465.html" TargetMode="External"/><Relationship Id="rId4" Type="http://schemas.openxmlformats.org/officeDocument/2006/relationships/settings" Target="settings.xml"/><Relationship Id="rId9" Type="http://schemas.openxmlformats.org/officeDocument/2006/relationships/hyperlink" Target="https://www.bosch-presse.de/pressportal/de/de/klimaschutz-bosch-ab-2020-weltweit-co2-neutral-188800.html" TargetMode="External"/><Relationship Id="rId14" Type="http://schemas.openxmlformats.org/officeDocument/2006/relationships/hyperlink" Target="https://www.bosch-presse.de/pressportal/de/en/bosch-pools-development-activities-for-universal-vehicle-software-in-one-unit-235776.html"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D2968-38D6-434F-9218-E3436206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2678</Words>
  <Characters>15266</Characters>
  <Application>Microsoft Office Word</Application>
  <DocSecurity>0</DocSecurity>
  <PresentationFormat/>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17909</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KAS8SH</dc:creator>
  <cp:keywords/>
  <dc:description/>
  <cp:lastModifiedBy>EXTERNAL Kumar Mohan (Klaus It, SX/BSA4)</cp:lastModifiedBy>
  <cp:revision>4</cp:revision>
  <cp:lastPrinted>2022-02-17T18:41:00Z</cp:lastPrinted>
  <dcterms:created xsi:type="dcterms:W3CDTF">2022-02-17T18:39:00Z</dcterms:created>
  <dcterms:modified xsi:type="dcterms:W3CDTF">2022-02-22T04:54:00Z</dcterms:modified>
</cp:coreProperties>
</file>